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F6" w:rsidRDefault="00166BF6" w:rsidP="00B22D07">
      <w:pPr>
        <w:pStyle w:val="5"/>
        <w:jc w:val="right"/>
        <w:rPr>
          <w:sz w:val="22"/>
          <w:szCs w:val="22"/>
        </w:rPr>
      </w:pPr>
      <w:bookmarkStart w:id="0" w:name="_Ref66734596"/>
    </w:p>
    <w:p w:rsidR="00166BF6" w:rsidRDefault="00166BF6" w:rsidP="00B22D07">
      <w:pPr>
        <w:pStyle w:val="5"/>
        <w:jc w:val="right"/>
        <w:rPr>
          <w:sz w:val="22"/>
          <w:szCs w:val="22"/>
        </w:rPr>
      </w:pPr>
    </w:p>
    <w:p w:rsidR="00B22D07" w:rsidRPr="00FE5E87" w:rsidRDefault="00B22D07" w:rsidP="00B22D07">
      <w:pPr>
        <w:pStyle w:val="5"/>
        <w:jc w:val="right"/>
        <w:rPr>
          <w:sz w:val="22"/>
          <w:szCs w:val="22"/>
        </w:rPr>
      </w:pPr>
      <w:r w:rsidRPr="00FE5E87">
        <w:rPr>
          <w:sz w:val="22"/>
          <w:szCs w:val="22"/>
        </w:rPr>
        <w:t>Приложение № 1.1</w:t>
      </w:r>
      <w:bookmarkEnd w:id="0"/>
      <w:r w:rsidRPr="00FE5E87">
        <w:rPr>
          <w:sz w:val="22"/>
          <w:szCs w:val="22"/>
        </w:rPr>
        <w:t xml:space="preserve"> </w:t>
      </w:r>
    </w:p>
    <w:p w:rsidR="00B22D07" w:rsidRPr="00FE5E87" w:rsidRDefault="00B22D07" w:rsidP="00B22D07">
      <w:pPr>
        <w:jc w:val="right"/>
        <w:rPr>
          <w:sz w:val="22"/>
          <w:szCs w:val="22"/>
        </w:rPr>
      </w:pPr>
      <w:r w:rsidRPr="00FE5E87">
        <w:rPr>
          <w:sz w:val="22"/>
          <w:szCs w:val="22"/>
        </w:rPr>
        <w:t>к извещению о проведении запроса котировок</w:t>
      </w:r>
    </w:p>
    <w:p w:rsidR="006A769C" w:rsidRDefault="006A769C" w:rsidP="000054F6">
      <w:pPr>
        <w:spacing w:before="240" w:line="276" w:lineRule="auto"/>
        <w:ind w:firstLine="708"/>
        <w:contextualSpacing/>
        <w:jc w:val="center"/>
        <w:rPr>
          <w:sz w:val="22"/>
          <w:szCs w:val="22"/>
        </w:rPr>
      </w:pPr>
    </w:p>
    <w:p w:rsidR="00166BF6" w:rsidRDefault="00166BF6" w:rsidP="000054F6">
      <w:pPr>
        <w:spacing w:before="240" w:line="276" w:lineRule="auto"/>
        <w:ind w:firstLine="708"/>
        <w:contextualSpacing/>
        <w:jc w:val="center"/>
        <w:rPr>
          <w:sz w:val="22"/>
          <w:szCs w:val="22"/>
        </w:rPr>
      </w:pPr>
    </w:p>
    <w:p w:rsidR="00166BF6" w:rsidRDefault="00166BF6" w:rsidP="000054F6">
      <w:pPr>
        <w:spacing w:before="240" w:line="276" w:lineRule="auto"/>
        <w:ind w:firstLine="708"/>
        <w:contextualSpacing/>
        <w:jc w:val="center"/>
        <w:rPr>
          <w:sz w:val="22"/>
          <w:szCs w:val="22"/>
        </w:rPr>
      </w:pPr>
    </w:p>
    <w:p w:rsidR="00E16920" w:rsidRPr="00FE5E87" w:rsidRDefault="00E16920" w:rsidP="000054F6">
      <w:pPr>
        <w:spacing w:before="240" w:line="276" w:lineRule="auto"/>
        <w:ind w:firstLine="708"/>
        <w:contextualSpacing/>
        <w:jc w:val="center"/>
        <w:rPr>
          <w:sz w:val="22"/>
          <w:szCs w:val="22"/>
        </w:rPr>
      </w:pPr>
      <w:r w:rsidRPr="00FE5E87">
        <w:rPr>
          <w:sz w:val="22"/>
          <w:szCs w:val="22"/>
        </w:rPr>
        <w:t>ТЕХНИЧЕСКОЕ ЗАДАНИЕ</w:t>
      </w:r>
    </w:p>
    <w:p w:rsidR="007D75F4" w:rsidRPr="006A769C" w:rsidRDefault="00570C30" w:rsidP="007D75F4">
      <w:pPr>
        <w:spacing w:after="240" w:line="276" w:lineRule="auto"/>
        <w:ind w:firstLine="708"/>
        <w:contextualSpacing/>
        <w:jc w:val="center"/>
        <w:rPr>
          <w:sz w:val="22"/>
          <w:szCs w:val="22"/>
        </w:rPr>
      </w:pPr>
      <w:r w:rsidRPr="00FE5E87">
        <w:rPr>
          <w:sz w:val="22"/>
          <w:szCs w:val="22"/>
        </w:rPr>
        <w:t>на поставку</w:t>
      </w:r>
      <w:r w:rsidR="00981752">
        <w:rPr>
          <w:sz w:val="22"/>
          <w:szCs w:val="22"/>
        </w:rPr>
        <w:t xml:space="preserve">: </w:t>
      </w:r>
      <w:r w:rsidR="006A769C">
        <w:rPr>
          <w:sz w:val="22"/>
          <w:szCs w:val="22"/>
        </w:rPr>
        <w:t>л</w:t>
      </w:r>
      <w:r w:rsidR="006A769C" w:rsidRPr="006A769C">
        <w:rPr>
          <w:sz w:val="22"/>
          <w:szCs w:val="22"/>
        </w:rPr>
        <w:t>амп</w:t>
      </w:r>
      <w:r w:rsidR="006A769C">
        <w:rPr>
          <w:sz w:val="22"/>
          <w:szCs w:val="22"/>
        </w:rPr>
        <w:t>ы</w:t>
      </w:r>
      <w:r w:rsidR="006A769C" w:rsidRPr="006A769C">
        <w:rPr>
          <w:sz w:val="22"/>
          <w:szCs w:val="22"/>
        </w:rPr>
        <w:t xml:space="preserve"> для видеопроцессора медицинского эндоскопического с корпусо</w:t>
      </w:r>
      <w:proofErr w:type="gramStart"/>
      <w:r w:rsidR="006A769C" w:rsidRPr="006A769C">
        <w:rPr>
          <w:sz w:val="22"/>
          <w:szCs w:val="22"/>
        </w:rPr>
        <w:t>м-</w:t>
      </w:r>
      <w:proofErr w:type="gramEnd"/>
      <w:r w:rsidR="006A769C" w:rsidRPr="006A769C">
        <w:rPr>
          <w:sz w:val="22"/>
          <w:szCs w:val="22"/>
        </w:rPr>
        <w:t xml:space="preserve"> радиаторов в комплекте</w:t>
      </w:r>
    </w:p>
    <w:p w:rsidR="00547208" w:rsidRDefault="00547208" w:rsidP="007D75F4">
      <w:pPr>
        <w:spacing w:after="240" w:line="276" w:lineRule="auto"/>
        <w:ind w:firstLine="708"/>
        <w:contextualSpacing/>
        <w:jc w:val="center"/>
        <w:rPr>
          <w:sz w:val="22"/>
          <w:szCs w:val="22"/>
        </w:rPr>
      </w:pPr>
    </w:p>
    <w:p w:rsidR="00A619F4" w:rsidRPr="00FE5E87" w:rsidRDefault="0054663D" w:rsidP="000054F6">
      <w:pPr>
        <w:spacing w:before="240"/>
        <w:ind w:left="708" w:firstLine="708"/>
        <w:contextualSpacing/>
        <w:jc w:val="both"/>
        <w:rPr>
          <w:sz w:val="22"/>
          <w:szCs w:val="22"/>
        </w:rPr>
      </w:pPr>
      <w:r w:rsidRPr="00FE5E87">
        <w:rPr>
          <w:sz w:val="22"/>
          <w:szCs w:val="22"/>
        </w:rPr>
        <w:t xml:space="preserve">1. </w:t>
      </w:r>
      <w:r w:rsidR="00A619F4" w:rsidRPr="00FE5E87">
        <w:rPr>
          <w:sz w:val="22"/>
          <w:szCs w:val="22"/>
        </w:rPr>
        <w:t>Общие требования к товару и условиям поставки: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1.</w:t>
      </w:r>
      <w:r w:rsidR="0054663D" w:rsidRPr="00FE5E87">
        <w:rPr>
          <w:rFonts w:ascii="Times New Roman" w:hAnsi="Times New Roman" w:cs="Times New Roman"/>
          <w:sz w:val="24"/>
          <w:szCs w:val="24"/>
        </w:rPr>
        <w:t>1</w:t>
      </w:r>
      <w:r w:rsidRPr="00FE5E87">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A619F4" w:rsidRPr="00FE5E87" w:rsidRDefault="0054663D" w:rsidP="00A619F4">
      <w:pPr>
        <w:widowControl w:val="0"/>
        <w:overflowPunct w:val="0"/>
        <w:autoSpaceDE w:val="0"/>
        <w:autoSpaceDN w:val="0"/>
        <w:adjustRightInd w:val="0"/>
        <w:ind w:firstLine="567"/>
        <w:contextualSpacing/>
        <w:jc w:val="both"/>
      </w:pPr>
      <w:r w:rsidRPr="00FE5E87">
        <w:t>1.</w:t>
      </w:r>
      <w:r w:rsidR="00A619F4" w:rsidRPr="00FE5E87">
        <w:t>2. Поставка</w:t>
      </w:r>
      <w:r w:rsidR="006E7114">
        <w:t xml:space="preserve"> </w:t>
      </w:r>
      <w:r w:rsidR="00A619F4" w:rsidRPr="00FE5E87">
        <w:t>осущес</w:t>
      </w:r>
      <w:r w:rsidR="008D02F9">
        <w:t xml:space="preserve">твляется </w:t>
      </w:r>
      <w:r w:rsidR="008D02F9" w:rsidRPr="004A2BCB">
        <w:t xml:space="preserve">Поставщиком </w:t>
      </w:r>
      <w:r w:rsidR="004A2BCB" w:rsidRPr="004A2BCB">
        <w:t>в течение 6</w:t>
      </w:r>
      <w:r w:rsidR="00A619F4" w:rsidRPr="004A2BCB">
        <w:t xml:space="preserve">0 календарных дней с момента </w:t>
      </w:r>
      <w:r w:rsidR="00547208">
        <w:t>подписания договора</w:t>
      </w:r>
      <w:r w:rsidR="00AA7500" w:rsidRPr="004A2BCB">
        <w:t>.</w:t>
      </w:r>
      <w:r w:rsidR="00AA7500" w:rsidRPr="00FE5E87">
        <w:t xml:space="preserve"> </w:t>
      </w:r>
    </w:p>
    <w:p w:rsidR="00A619F4" w:rsidRPr="00FE5E87" w:rsidRDefault="0054663D" w:rsidP="00A619F4">
      <w:pPr>
        <w:widowControl w:val="0"/>
        <w:overflowPunct w:val="0"/>
        <w:autoSpaceDE w:val="0"/>
        <w:autoSpaceDN w:val="0"/>
        <w:adjustRightInd w:val="0"/>
        <w:ind w:firstLine="567"/>
        <w:contextualSpacing/>
        <w:jc w:val="both"/>
      </w:pPr>
      <w:r w:rsidRPr="00FE5E87">
        <w:t>1.3</w:t>
      </w:r>
      <w:r w:rsidR="00A619F4" w:rsidRPr="00FE5E87">
        <w:t xml:space="preserve">. Год выпуска </w:t>
      </w:r>
      <w:r w:rsidR="00D906B5">
        <w:t xml:space="preserve">поставляемых </w:t>
      </w:r>
      <w:r w:rsidR="00126C97">
        <w:t>м</w:t>
      </w:r>
      <w:r w:rsidR="00D906B5">
        <w:t>едицинских изделий</w:t>
      </w:r>
      <w:r w:rsidR="00A619F4" w:rsidRPr="00FE5E87">
        <w:t xml:space="preserve">  не ранее 2021 года.</w:t>
      </w:r>
    </w:p>
    <w:p w:rsidR="00A619F4" w:rsidRPr="00FE5E87" w:rsidRDefault="00A619F4" w:rsidP="00A619F4">
      <w:pPr>
        <w:widowControl w:val="0"/>
        <w:contextualSpacing/>
        <w:jc w:val="both"/>
      </w:pPr>
      <w:r w:rsidRPr="00FE5E87">
        <w:t xml:space="preserve">         </w:t>
      </w:r>
      <w:r w:rsidR="0054663D" w:rsidRPr="00FE5E87">
        <w:t>1.</w:t>
      </w:r>
      <w:r w:rsidRPr="00FE5E87">
        <w:t>4. Гарантийные обязательства:</w:t>
      </w:r>
    </w:p>
    <w:p w:rsidR="00A619F4" w:rsidRPr="00FE5E87" w:rsidRDefault="00AA7500" w:rsidP="00A619F4">
      <w:pPr>
        <w:widowControl w:val="0"/>
        <w:ind w:firstLine="708"/>
        <w:contextualSpacing/>
        <w:jc w:val="both"/>
      </w:pPr>
      <w:r w:rsidRPr="00FE5E87">
        <w:t>Поставляем</w:t>
      </w:r>
      <w:r w:rsidR="000A45FD">
        <w:t>ый</w:t>
      </w:r>
      <w:r w:rsidR="00D906B5">
        <w:t xml:space="preserve"> </w:t>
      </w:r>
      <w:r w:rsidR="00CF19BC">
        <w:t>Товар должен</w:t>
      </w:r>
      <w:r w:rsidRPr="00FE5E87">
        <w:t xml:space="preserve"> быть</w:t>
      </w:r>
      <w:r w:rsidR="00A619F4" w:rsidRPr="00FE5E87">
        <w:t xml:space="preserve"> новым, ранее неиспользованным, серийно выпускаемым. </w:t>
      </w:r>
    </w:p>
    <w:p w:rsidR="00A619F4" w:rsidRPr="004A2BCB" w:rsidRDefault="000A45FD" w:rsidP="00A619F4">
      <w:pPr>
        <w:pStyle w:val="ConsPlusNormal"/>
        <w:ind w:firstLine="540"/>
        <w:contextualSpacing/>
        <w:jc w:val="both"/>
        <w:rPr>
          <w:rFonts w:ascii="Times New Roman" w:hAnsi="Times New Roman" w:cs="Times New Roman"/>
          <w:sz w:val="24"/>
          <w:szCs w:val="24"/>
        </w:rPr>
      </w:pPr>
      <w:r w:rsidRPr="000A45FD">
        <w:rPr>
          <w:rFonts w:ascii="Times New Roman" w:hAnsi="Times New Roman" w:cs="Times New Roman"/>
          <w:sz w:val="24"/>
          <w:szCs w:val="24"/>
        </w:rPr>
        <w:t xml:space="preserve">Поставляемый Товар </w:t>
      </w:r>
      <w:proofErr w:type="gramStart"/>
      <w:r w:rsidR="00AA7500" w:rsidRPr="00FE5E87">
        <w:rPr>
          <w:rFonts w:ascii="Times New Roman" w:hAnsi="Times New Roman" w:cs="Times New Roman"/>
          <w:sz w:val="24"/>
          <w:szCs w:val="24"/>
        </w:rPr>
        <w:t>не</w:t>
      </w:r>
      <w:r w:rsidR="006932CE" w:rsidRPr="00FE5E87">
        <w:rPr>
          <w:rFonts w:ascii="Times New Roman" w:hAnsi="Times New Roman" w:cs="Times New Roman"/>
          <w:sz w:val="24"/>
          <w:szCs w:val="24"/>
        </w:rPr>
        <w:t>долж</w:t>
      </w:r>
      <w:r w:rsidR="00372F01">
        <w:rPr>
          <w:rFonts w:ascii="Times New Roman" w:hAnsi="Times New Roman" w:cs="Times New Roman"/>
          <w:sz w:val="24"/>
          <w:szCs w:val="24"/>
        </w:rPr>
        <w:t>е</w:t>
      </w:r>
      <w:r w:rsidR="006932CE" w:rsidRPr="00FE5E87">
        <w:rPr>
          <w:rFonts w:ascii="Times New Roman" w:hAnsi="Times New Roman" w:cs="Times New Roman"/>
          <w:sz w:val="24"/>
          <w:szCs w:val="24"/>
        </w:rPr>
        <w:t>н</w:t>
      </w:r>
      <w:proofErr w:type="gramEnd"/>
      <w:r w:rsidR="006932CE" w:rsidRPr="00FE5E87">
        <w:rPr>
          <w:rFonts w:ascii="Times New Roman" w:hAnsi="Times New Roman" w:cs="Times New Roman"/>
          <w:sz w:val="24"/>
          <w:szCs w:val="24"/>
        </w:rPr>
        <w:t xml:space="preserve"> иметь</w:t>
      </w:r>
      <w:r w:rsidR="00A619F4" w:rsidRPr="00FE5E87">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w:t>
      </w:r>
      <w:r w:rsidR="00126C97">
        <w:rPr>
          <w:rFonts w:ascii="Times New Roman" w:hAnsi="Times New Roman" w:cs="Times New Roman"/>
          <w:sz w:val="24"/>
          <w:szCs w:val="24"/>
        </w:rPr>
        <w:t>м</w:t>
      </w:r>
      <w:r w:rsidR="00D906B5">
        <w:rPr>
          <w:rFonts w:ascii="Times New Roman" w:hAnsi="Times New Roman" w:cs="Times New Roman"/>
          <w:sz w:val="24"/>
          <w:szCs w:val="24"/>
        </w:rPr>
        <w:t>едицинских изделий</w:t>
      </w:r>
      <w:r w:rsidR="00A619F4" w:rsidRPr="00FE5E87">
        <w:rPr>
          <w:rFonts w:ascii="Times New Roman" w:hAnsi="Times New Roman" w:cs="Times New Roman"/>
          <w:sz w:val="24"/>
          <w:szCs w:val="24"/>
        </w:rPr>
        <w:t xml:space="preserve"> в соответствии со Спецификацией, Техническими требованиями, технической и (или) эксплуатационной </w:t>
      </w:r>
      <w:r w:rsidR="00A619F4" w:rsidRPr="004A2BCB">
        <w:rPr>
          <w:rFonts w:ascii="Times New Roman" w:hAnsi="Times New Roman" w:cs="Times New Roman"/>
          <w:sz w:val="24"/>
          <w:szCs w:val="24"/>
        </w:rPr>
        <w:t xml:space="preserve">документацией производителя (изготовителя) </w:t>
      </w:r>
      <w:r w:rsidR="00126C97" w:rsidRPr="004A2BCB">
        <w:rPr>
          <w:rFonts w:ascii="Times New Roman" w:hAnsi="Times New Roman" w:cs="Times New Roman"/>
          <w:sz w:val="24"/>
          <w:szCs w:val="24"/>
        </w:rPr>
        <w:t>м</w:t>
      </w:r>
      <w:r w:rsidR="00D906B5" w:rsidRPr="004A2BCB">
        <w:rPr>
          <w:rFonts w:ascii="Times New Roman" w:hAnsi="Times New Roman" w:cs="Times New Roman"/>
          <w:sz w:val="24"/>
          <w:szCs w:val="24"/>
        </w:rPr>
        <w:t>едицинских изделий</w:t>
      </w:r>
      <w:r w:rsidR="00A619F4" w:rsidRPr="004A2BCB">
        <w:rPr>
          <w:rFonts w:ascii="Times New Roman" w:hAnsi="Times New Roman" w:cs="Times New Roman"/>
          <w:sz w:val="24"/>
          <w:szCs w:val="24"/>
        </w:rPr>
        <w:t>.</w:t>
      </w:r>
    </w:p>
    <w:p w:rsidR="00A619F4" w:rsidRPr="004A2BCB" w:rsidRDefault="00EC333D" w:rsidP="00A619F4">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Поставляемый Товар должен</w:t>
      </w:r>
      <w:r w:rsidR="006932CE" w:rsidRPr="004A2BCB">
        <w:rPr>
          <w:rFonts w:ascii="Times New Roman" w:hAnsi="Times New Roman" w:cs="Times New Roman"/>
          <w:sz w:val="24"/>
          <w:szCs w:val="24"/>
        </w:rPr>
        <w:t xml:space="preserve"> </w:t>
      </w:r>
      <w:r w:rsidR="00A619F4" w:rsidRPr="004A2BCB">
        <w:rPr>
          <w:rFonts w:ascii="Times New Roman" w:hAnsi="Times New Roman" w:cs="Times New Roman"/>
          <w:sz w:val="24"/>
          <w:szCs w:val="24"/>
        </w:rPr>
        <w:t>соответств</w:t>
      </w:r>
      <w:r w:rsidR="006932CE" w:rsidRPr="004A2BCB">
        <w:rPr>
          <w:rFonts w:ascii="Times New Roman" w:hAnsi="Times New Roman" w:cs="Times New Roman"/>
          <w:sz w:val="24"/>
          <w:szCs w:val="24"/>
        </w:rPr>
        <w:t>овать</w:t>
      </w:r>
      <w:r w:rsidR="00A619F4" w:rsidRPr="004A2BCB">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sidR="006932CE" w:rsidRPr="004A2BCB">
        <w:rPr>
          <w:rFonts w:ascii="Times New Roman" w:hAnsi="Times New Roman" w:cs="Times New Roman"/>
          <w:sz w:val="24"/>
          <w:szCs w:val="24"/>
        </w:rPr>
        <w:t>ь</w:t>
      </w:r>
      <w:r w:rsidR="00A619F4" w:rsidRPr="004A2BCB">
        <w:rPr>
          <w:rFonts w:ascii="Times New Roman" w:hAnsi="Times New Roman" w:cs="Times New Roman"/>
          <w:sz w:val="24"/>
          <w:szCs w:val="24"/>
        </w:rPr>
        <w:t xml:space="preserve"> безопасность жизни, здоровья потребителей, отвечат</w:t>
      </w:r>
      <w:r w:rsidR="006932CE" w:rsidRPr="004A2BCB">
        <w:rPr>
          <w:rFonts w:ascii="Times New Roman" w:hAnsi="Times New Roman" w:cs="Times New Roman"/>
          <w:sz w:val="24"/>
          <w:szCs w:val="24"/>
        </w:rPr>
        <w:t>ь</w:t>
      </w:r>
      <w:r w:rsidR="00A619F4" w:rsidRPr="004A2BCB">
        <w:rPr>
          <w:rFonts w:ascii="Times New Roman" w:hAnsi="Times New Roman" w:cs="Times New Roman"/>
          <w:sz w:val="24"/>
          <w:szCs w:val="24"/>
        </w:rPr>
        <w:t xml:space="preserve"> требованиям действующего законодательства Российской Федерации.</w:t>
      </w:r>
    </w:p>
    <w:p w:rsidR="00A619F4" w:rsidRPr="004A2BCB" w:rsidRDefault="00A619F4" w:rsidP="00A619F4">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 xml:space="preserve">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sidR="00C1434F" w:rsidRPr="004A2BCB">
        <w:rPr>
          <w:rFonts w:ascii="Times New Roman" w:hAnsi="Times New Roman" w:cs="Times New Roman"/>
          <w:sz w:val="24"/>
          <w:szCs w:val="24"/>
        </w:rPr>
        <w:t xml:space="preserve"> Товара</w:t>
      </w:r>
      <w:r w:rsidRPr="004A2BCB">
        <w:rPr>
          <w:rFonts w:ascii="Times New Roman" w:hAnsi="Times New Roman" w:cs="Times New Roman"/>
          <w:sz w:val="24"/>
          <w:szCs w:val="24"/>
        </w:rPr>
        <w:t xml:space="preserve">, а также надлежащее качество </w:t>
      </w:r>
      <w:r w:rsidR="00C1434F" w:rsidRPr="004A2BCB">
        <w:rPr>
          <w:rFonts w:ascii="Times New Roman" w:hAnsi="Times New Roman" w:cs="Times New Roman"/>
          <w:sz w:val="24"/>
          <w:szCs w:val="24"/>
        </w:rPr>
        <w:t>самого Товара</w:t>
      </w:r>
      <w:r w:rsidR="00FB2ED1" w:rsidRPr="004A2BCB">
        <w:rPr>
          <w:rFonts w:ascii="Times New Roman" w:hAnsi="Times New Roman" w:cs="Times New Roman"/>
          <w:sz w:val="24"/>
          <w:szCs w:val="24"/>
        </w:rPr>
        <w:t>.</w:t>
      </w:r>
    </w:p>
    <w:p w:rsidR="00796D1C" w:rsidRPr="004A2BCB" w:rsidRDefault="00A619F4" w:rsidP="00796D1C">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 xml:space="preserve">Гарантия на </w:t>
      </w:r>
      <w:r w:rsidR="004A2BCB" w:rsidRPr="004A2BCB">
        <w:rPr>
          <w:rFonts w:ascii="Times New Roman" w:hAnsi="Times New Roman" w:cs="Times New Roman"/>
          <w:sz w:val="24"/>
          <w:szCs w:val="24"/>
        </w:rPr>
        <w:t>Товар</w:t>
      </w:r>
      <w:r w:rsidR="00FB2ED1" w:rsidRPr="004A2BCB">
        <w:rPr>
          <w:rFonts w:ascii="Times New Roman" w:hAnsi="Times New Roman" w:cs="Times New Roman"/>
          <w:sz w:val="24"/>
          <w:szCs w:val="24"/>
        </w:rPr>
        <w:t xml:space="preserve"> должна</w:t>
      </w:r>
      <w:r w:rsidRPr="004A2BCB">
        <w:rPr>
          <w:rFonts w:ascii="Times New Roman" w:hAnsi="Times New Roman" w:cs="Times New Roman"/>
          <w:sz w:val="24"/>
          <w:szCs w:val="24"/>
        </w:rPr>
        <w:t xml:space="preserve"> </w:t>
      </w:r>
      <w:r w:rsidR="000C196E">
        <w:rPr>
          <w:rFonts w:ascii="Times New Roman" w:hAnsi="Times New Roman" w:cs="Times New Roman"/>
          <w:sz w:val="24"/>
          <w:szCs w:val="24"/>
        </w:rPr>
        <w:t>составля</w:t>
      </w:r>
      <w:r w:rsidR="006932CE" w:rsidRPr="004A2BCB">
        <w:rPr>
          <w:rFonts w:ascii="Times New Roman" w:hAnsi="Times New Roman" w:cs="Times New Roman"/>
          <w:sz w:val="24"/>
          <w:szCs w:val="24"/>
        </w:rPr>
        <w:t>т</w:t>
      </w:r>
      <w:r w:rsidR="000C196E">
        <w:rPr>
          <w:rFonts w:ascii="Times New Roman" w:hAnsi="Times New Roman" w:cs="Times New Roman"/>
          <w:sz w:val="24"/>
          <w:szCs w:val="24"/>
        </w:rPr>
        <w:t>ь</w:t>
      </w:r>
      <w:r w:rsidR="006932CE" w:rsidRPr="004A2BCB">
        <w:rPr>
          <w:rFonts w:ascii="Times New Roman" w:hAnsi="Times New Roman" w:cs="Times New Roman"/>
          <w:sz w:val="24"/>
          <w:szCs w:val="24"/>
        </w:rPr>
        <w:t xml:space="preserve"> не менее </w:t>
      </w:r>
      <w:r w:rsidR="004A2BCB" w:rsidRPr="004A2BCB">
        <w:rPr>
          <w:rFonts w:ascii="Times New Roman" w:hAnsi="Times New Roman" w:cs="Times New Roman"/>
          <w:sz w:val="24"/>
          <w:szCs w:val="24"/>
        </w:rPr>
        <w:t>6</w:t>
      </w:r>
      <w:r w:rsidR="006932CE" w:rsidRPr="004A2BCB">
        <w:rPr>
          <w:rFonts w:ascii="Times New Roman" w:hAnsi="Times New Roman" w:cs="Times New Roman"/>
          <w:sz w:val="24"/>
          <w:szCs w:val="24"/>
        </w:rPr>
        <w:t xml:space="preserve"> месяцев, но не менее срока гарантии предоставляемой производителем.</w:t>
      </w:r>
      <w:r w:rsidR="00A12871" w:rsidRPr="004A2BCB">
        <w:rPr>
          <w:rFonts w:ascii="Times New Roman" w:hAnsi="Times New Roman" w:cs="Times New Roman"/>
          <w:sz w:val="24"/>
          <w:szCs w:val="24"/>
        </w:rPr>
        <w:t xml:space="preserve"> </w:t>
      </w:r>
      <w:r w:rsidR="00796D1C" w:rsidRPr="004A2BCB">
        <w:rPr>
          <w:rFonts w:ascii="Times New Roman" w:hAnsi="Times New Roman" w:cs="Times New Roman"/>
          <w:sz w:val="24"/>
          <w:szCs w:val="24"/>
        </w:rPr>
        <w:t>Гарантийный срок начинает исчисляться со дня подписания Акт</w:t>
      </w:r>
      <w:r w:rsidR="004A2BCB" w:rsidRPr="004A2BCB">
        <w:rPr>
          <w:rFonts w:ascii="Times New Roman" w:hAnsi="Times New Roman" w:cs="Times New Roman"/>
          <w:sz w:val="24"/>
          <w:szCs w:val="24"/>
        </w:rPr>
        <w:t xml:space="preserve"> приема-передачи</w:t>
      </w:r>
      <w:r w:rsidR="00796D1C" w:rsidRPr="004A2BCB">
        <w:rPr>
          <w:rFonts w:ascii="Times New Roman" w:hAnsi="Times New Roman" w:cs="Times New Roman"/>
          <w:sz w:val="24"/>
          <w:szCs w:val="24"/>
        </w:rPr>
        <w:t>.</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В случае устранен</w:t>
      </w:r>
      <w:r w:rsidRPr="00FE5E87">
        <w:rPr>
          <w:rFonts w:ascii="Times New Roman" w:hAnsi="Times New Roman" w:cs="Times New Roman"/>
          <w:sz w:val="24"/>
          <w:szCs w:val="24"/>
        </w:rPr>
        <w:t>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619F4" w:rsidRDefault="00334A01"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В случае </w:t>
      </w:r>
      <w:r w:rsidR="00796D1C" w:rsidRPr="00FE5E87">
        <w:rPr>
          <w:rFonts w:ascii="Times New Roman" w:hAnsi="Times New Roman" w:cs="Times New Roman"/>
          <w:sz w:val="24"/>
          <w:szCs w:val="24"/>
        </w:rPr>
        <w:t>е</w:t>
      </w:r>
      <w:r w:rsidRPr="00FE5E87">
        <w:rPr>
          <w:rFonts w:ascii="Times New Roman" w:hAnsi="Times New Roman" w:cs="Times New Roman"/>
          <w:sz w:val="24"/>
          <w:szCs w:val="24"/>
        </w:rPr>
        <w:t xml:space="preserve">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w:t>
      </w:r>
    </w:p>
    <w:p w:rsidR="00166BF6" w:rsidRDefault="00166BF6" w:rsidP="00A619F4">
      <w:pPr>
        <w:pStyle w:val="ConsPlusNormal"/>
        <w:ind w:firstLine="540"/>
        <w:contextualSpacing/>
        <w:jc w:val="both"/>
        <w:rPr>
          <w:rFonts w:ascii="Times New Roman" w:hAnsi="Times New Roman" w:cs="Times New Roman"/>
          <w:sz w:val="24"/>
          <w:szCs w:val="24"/>
        </w:rPr>
      </w:pPr>
    </w:p>
    <w:p w:rsidR="00166BF6" w:rsidRDefault="00166BF6" w:rsidP="00A619F4">
      <w:pPr>
        <w:pStyle w:val="ConsPlusNormal"/>
        <w:ind w:firstLine="540"/>
        <w:contextualSpacing/>
        <w:jc w:val="both"/>
        <w:rPr>
          <w:rFonts w:ascii="Times New Roman" w:hAnsi="Times New Roman" w:cs="Times New Roman"/>
          <w:sz w:val="24"/>
          <w:szCs w:val="24"/>
        </w:rPr>
      </w:pPr>
    </w:p>
    <w:p w:rsidR="00166BF6" w:rsidRDefault="00166BF6" w:rsidP="00A619F4">
      <w:pPr>
        <w:pStyle w:val="ConsPlusNormal"/>
        <w:ind w:firstLine="540"/>
        <w:contextualSpacing/>
        <w:jc w:val="both"/>
        <w:rPr>
          <w:rFonts w:ascii="Times New Roman" w:hAnsi="Times New Roman" w:cs="Times New Roman"/>
          <w:sz w:val="24"/>
          <w:szCs w:val="24"/>
        </w:rPr>
      </w:pPr>
    </w:p>
    <w:p w:rsidR="00166BF6" w:rsidRDefault="00166BF6" w:rsidP="00A619F4">
      <w:pPr>
        <w:pStyle w:val="ConsPlusNormal"/>
        <w:ind w:firstLine="540"/>
        <w:contextualSpacing/>
        <w:jc w:val="both"/>
        <w:rPr>
          <w:rFonts w:ascii="Times New Roman" w:hAnsi="Times New Roman" w:cs="Times New Roman"/>
          <w:sz w:val="24"/>
          <w:szCs w:val="24"/>
        </w:rPr>
      </w:pPr>
    </w:p>
    <w:p w:rsidR="00166BF6" w:rsidRDefault="00166BF6" w:rsidP="00A619F4">
      <w:pPr>
        <w:pStyle w:val="ConsPlusNormal"/>
        <w:ind w:firstLine="540"/>
        <w:contextualSpacing/>
        <w:jc w:val="both"/>
        <w:rPr>
          <w:rFonts w:ascii="Times New Roman" w:hAnsi="Times New Roman" w:cs="Times New Roman"/>
          <w:sz w:val="24"/>
          <w:szCs w:val="24"/>
        </w:rPr>
      </w:pPr>
    </w:p>
    <w:p w:rsidR="00166BF6" w:rsidRDefault="00166BF6" w:rsidP="00A619F4">
      <w:pPr>
        <w:pStyle w:val="ConsPlusNormal"/>
        <w:ind w:firstLine="540"/>
        <w:contextualSpacing/>
        <w:jc w:val="both"/>
        <w:rPr>
          <w:rFonts w:ascii="Times New Roman" w:hAnsi="Times New Roman" w:cs="Times New Roman"/>
          <w:sz w:val="24"/>
          <w:szCs w:val="24"/>
        </w:rPr>
      </w:pPr>
    </w:p>
    <w:p w:rsidR="00166BF6" w:rsidRDefault="00166BF6" w:rsidP="00A619F4">
      <w:pPr>
        <w:pStyle w:val="ConsPlusNormal"/>
        <w:ind w:firstLine="540"/>
        <w:contextualSpacing/>
        <w:jc w:val="both"/>
        <w:rPr>
          <w:rFonts w:ascii="Times New Roman" w:hAnsi="Times New Roman" w:cs="Times New Roman"/>
          <w:sz w:val="24"/>
          <w:szCs w:val="24"/>
        </w:rPr>
      </w:pPr>
    </w:p>
    <w:p w:rsidR="00166BF6" w:rsidRDefault="00166BF6" w:rsidP="00A619F4">
      <w:pPr>
        <w:pStyle w:val="ConsPlusNormal"/>
        <w:ind w:firstLine="540"/>
        <w:contextualSpacing/>
        <w:jc w:val="both"/>
        <w:rPr>
          <w:rFonts w:ascii="Times New Roman" w:hAnsi="Times New Roman" w:cs="Times New Roman"/>
          <w:sz w:val="24"/>
          <w:szCs w:val="24"/>
        </w:rPr>
      </w:pPr>
    </w:p>
    <w:p w:rsidR="00166BF6" w:rsidRDefault="00166BF6" w:rsidP="00A619F4">
      <w:pPr>
        <w:pStyle w:val="ConsPlusNormal"/>
        <w:ind w:firstLine="540"/>
        <w:contextualSpacing/>
        <w:jc w:val="both"/>
        <w:rPr>
          <w:rFonts w:ascii="Times New Roman" w:hAnsi="Times New Roman" w:cs="Times New Roman"/>
          <w:sz w:val="24"/>
          <w:szCs w:val="24"/>
        </w:rPr>
      </w:pPr>
    </w:p>
    <w:p w:rsidR="00166BF6" w:rsidRPr="00FE5E87" w:rsidRDefault="00166BF6" w:rsidP="00A619F4">
      <w:pPr>
        <w:pStyle w:val="ConsPlusNormal"/>
        <w:ind w:firstLine="540"/>
        <w:contextualSpacing/>
        <w:jc w:val="both"/>
        <w:rPr>
          <w:rFonts w:ascii="Times New Roman" w:hAnsi="Times New Roman" w:cs="Times New Roman"/>
          <w:sz w:val="24"/>
          <w:szCs w:val="24"/>
        </w:rPr>
      </w:pPr>
    </w:p>
    <w:p w:rsidR="00D2263A" w:rsidRDefault="00421D0E" w:rsidP="00755C4A">
      <w:pPr>
        <w:pStyle w:val="ConsPlusNormal"/>
        <w:spacing w:after="240"/>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2</w:t>
      </w:r>
      <w:r w:rsidR="00D2263A" w:rsidRPr="00FE5E87">
        <w:rPr>
          <w:rFonts w:ascii="Times New Roman" w:hAnsi="Times New Roman" w:cs="Times New Roman"/>
          <w:sz w:val="24"/>
          <w:szCs w:val="24"/>
        </w:rPr>
        <w:t xml:space="preserve">. </w:t>
      </w:r>
      <w:r w:rsidRPr="00FE5E87">
        <w:rPr>
          <w:rFonts w:ascii="Times New Roman" w:hAnsi="Times New Roman" w:cs="Times New Roman"/>
          <w:sz w:val="24"/>
          <w:szCs w:val="24"/>
        </w:rPr>
        <w:t>Технические требования и параметры:</w:t>
      </w:r>
    </w:p>
    <w:tbl>
      <w:tblPr>
        <w:tblW w:w="53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129"/>
        <w:gridCol w:w="567"/>
        <w:gridCol w:w="142"/>
        <w:gridCol w:w="2700"/>
        <w:gridCol w:w="2984"/>
        <w:gridCol w:w="567"/>
        <w:gridCol w:w="1261"/>
      </w:tblGrid>
      <w:tr w:rsidR="00130E0A" w:rsidRPr="00FE5E87" w:rsidTr="006A769C">
        <w:trPr>
          <w:trHeight w:val="804"/>
        </w:trPr>
        <w:tc>
          <w:tcPr>
            <w:tcW w:w="197" w:type="pct"/>
            <w:vAlign w:val="center"/>
          </w:tcPr>
          <w:p w:rsidR="00130E0A" w:rsidRPr="00FE5E87" w:rsidRDefault="00130E0A" w:rsidP="00130E0A">
            <w:pPr>
              <w:contextualSpacing/>
              <w:jc w:val="center"/>
              <w:rPr>
                <w:color w:val="000000"/>
                <w:sz w:val="20"/>
                <w:szCs w:val="20"/>
              </w:rPr>
            </w:pPr>
            <w:r w:rsidRPr="00FE5E87">
              <w:rPr>
                <w:color w:val="000000"/>
                <w:sz w:val="20"/>
                <w:szCs w:val="20"/>
              </w:rPr>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988" w:type="pct"/>
            <w:vAlign w:val="center"/>
          </w:tcPr>
          <w:p w:rsidR="00130E0A" w:rsidRPr="00FE5E87" w:rsidRDefault="00130E0A" w:rsidP="00D74B72">
            <w:pPr>
              <w:contextualSpacing/>
              <w:jc w:val="center"/>
              <w:rPr>
                <w:color w:val="000000"/>
                <w:sz w:val="20"/>
                <w:szCs w:val="20"/>
              </w:rPr>
            </w:pPr>
            <w:r w:rsidRPr="00FE5E87">
              <w:rPr>
                <w:color w:val="000000"/>
                <w:sz w:val="20"/>
                <w:szCs w:val="20"/>
              </w:rPr>
              <w:t>Наименование товара</w:t>
            </w:r>
          </w:p>
        </w:tc>
        <w:tc>
          <w:tcPr>
            <w:tcW w:w="3815" w:type="pct"/>
            <w:gridSpan w:val="6"/>
            <w:vAlign w:val="center"/>
          </w:tcPr>
          <w:p w:rsidR="00130E0A" w:rsidRPr="00FE5E87" w:rsidRDefault="00130E0A" w:rsidP="002A4106">
            <w:pPr>
              <w:contextualSpacing/>
              <w:jc w:val="center"/>
              <w:rPr>
                <w:color w:val="000000"/>
                <w:sz w:val="20"/>
                <w:szCs w:val="20"/>
              </w:rPr>
            </w:pPr>
            <w:r w:rsidRPr="00FE5E87">
              <w:rPr>
                <w:color w:val="000000"/>
                <w:sz w:val="20"/>
                <w:szCs w:val="20"/>
              </w:rPr>
              <w:t>Технические требования и параметры</w:t>
            </w:r>
          </w:p>
        </w:tc>
      </w:tr>
      <w:tr w:rsidR="006E7F2F" w:rsidRPr="00FE5E87" w:rsidTr="006A769C">
        <w:trPr>
          <w:trHeight w:val="970"/>
        </w:trPr>
        <w:tc>
          <w:tcPr>
            <w:tcW w:w="197" w:type="pct"/>
            <w:vMerge w:val="restart"/>
            <w:vAlign w:val="center"/>
          </w:tcPr>
          <w:p w:rsidR="00130E0A" w:rsidRPr="00FE5E87" w:rsidRDefault="00130E0A" w:rsidP="00130E0A">
            <w:pPr>
              <w:spacing w:line="276" w:lineRule="auto"/>
              <w:contextualSpacing/>
              <w:jc w:val="center"/>
              <w:rPr>
                <w:color w:val="000000"/>
                <w:sz w:val="20"/>
                <w:szCs w:val="20"/>
              </w:rPr>
            </w:pPr>
            <w:r w:rsidRPr="00FE5E87">
              <w:rPr>
                <w:color w:val="000000"/>
                <w:sz w:val="20"/>
                <w:szCs w:val="20"/>
              </w:rPr>
              <w:t>1</w:t>
            </w:r>
          </w:p>
        </w:tc>
        <w:tc>
          <w:tcPr>
            <w:tcW w:w="988" w:type="pct"/>
            <w:vMerge w:val="restart"/>
            <w:vAlign w:val="center"/>
          </w:tcPr>
          <w:p w:rsidR="00130E0A" w:rsidRPr="006A769C" w:rsidRDefault="006A769C" w:rsidP="006A769C">
            <w:pPr>
              <w:spacing w:line="276" w:lineRule="auto"/>
              <w:contextualSpacing/>
              <w:jc w:val="center"/>
              <w:rPr>
                <w:b/>
                <w:color w:val="000000"/>
                <w:sz w:val="20"/>
                <w:szCs w:val="20"/>
              </w:rPr>
            </w:pPr>
            <w:r w:rsidRPr="006A769C">
              <w:rPr>
                <w:b/>
                <w:color w:val="000000"/>
                <w:sz w:val="20"/>
                <w:szCs w:val="20"/>
              </w:rPr>
              <w:t>Лампа для видеопроцессора медицинского эндоскопического с корпусо</w:t>
            </w:r>
            <w:proofErr w:type="gramStart"/>
            <w:r w:rsidRPr="006A769C">
              <w:rPr>
                <w:b/>
                <w:color w:val="000000"/>
                <w:sz w:val="20"/>
                <w:szCs w:val="20"/>
              </w:rPr>
              <w:t>м-</w:t>
            </w:r>
            <w:proofErr w:type="gramEnd"/>
            <w:r w:rsidRPr="006A769C">
              <w:rPr>
                <w:b/>
                <w:color w:val="000000"/>
                <w:sz w:val="20"/>
                <w:szCs w:val="20"/>
              </w:rPr>
              <w:t xml:space="preserve"> радиаторов в комплекте </w:t>
            </w:r>
          </w:p>
        </w:tc>
        <w:tc>
          <w:tcPr>
            <w:tcW w:w="263" w:type="pct"/>
            <w:vAlign w:val="center"/>
          </w:tcPr>
          <w:p w:rsidR="00130E0A" w:rsidRPr="00FE5E87" w:rsidRDefault="00130E0A" w:rsidP="000A42A9">
            <w:pPr>
              <w:contextualSpacing/>
              <w:jc w:val="center"/>
              <w:rPr>
                <w:color w:val="000000"/>
                <w:sz w:val="20"/>
                <w:szCs w:val="20"/>
              </w:rPr>
            </w:pPr>
            <w:r w:rsidRPr="00FE5E87">
              <w:rPr>
                <w:color w:val="000000"/>
                <w:sz w:val="20"/>
                <w:szCs w:val="20"/>
              </w:rPr>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1319" w:type="pct"/>
            <w:gridSpan w:val="2"/>
            <w:shd w:val="clear" w:color="auto" w:fill="auto"/>
            <w:vAlign w:val="center"/>
            <w:hideMark/>
          </w:tcPr>
          <w:p w:rsidR="00130E0A" w:rsidRPr="00FE5E87" w:rsidRDefault="00130E0A" w:rsidP="00D74B72">
            <w:pPr>
              <w:contextualSpacing/>
              <w:jc w:val="center"/>
              <w:rPr>
                <w:color w:val="000000"/>
                <w:sz w:val="20"/>
                <w:szCs w:val="20"/>
              </w:rPr>
            </w:pPr>
            <w:r w:rsidRPr="00FE5E87">
              <w:rPr>
                <w:color w:val="000000"/>
                <w:sz w:val="20"/>
                <w:szCs w:val="20"/>
              </w:rPr>
              <w:t>Наименование показателя, единица измерения показателя* (при наличии)</w:t>
            </w:r>
          </w:p>
        </w:tc>
        <w:tc>
          <w:tcPr>
            <w:tcW w:w="1385" w:type="pct"/>
            <w:shd w:val="clear" w:color="auto" w:fill="auto"/>
            <w:vAlign w:val="center"/>
          </w:tcPr>
          <w:p w:rsidR="00130E0A" w:rsidRPr="00FE5E87" w:rsidRDefault="00130E0A" w:rsidP="00E16920">
            <w:pPr>
              <w:contextualSpacing/>
              <w:jc w:val="center"/>
              <w:rPr>
                <w:color w:val="000000"/>
                <w:sz w:val="22"/>
                <w:szCs w:val="22"/>
              </w:rPr>
            </w:pPr>
            <w:r w:rsidRPr="00FE5E87">
              <w:rPr>
                <w:color w:val="000000"/>
                <w:sz w:val="20"/>
                <w:szCs w:val="20"/>
              </w:rPr>
              <w:t>Значение показателя</w:t>
            </w:r>
          </w:p>
        </w:tc>
        <w:tc>
          <w:tcPr>
            <w:tcW w:w="263" w:type="pct"/>
            <w:vAlign w:val="center"/>
          </w:tcPr>
          <w:p w:rsidR="00130E0A" w:rsidRPr="00FE5E87" w:rsidRDefault="00130E0A" w:rsidP="0046288E">
            <w:pPr>
              <w:contextualSpacing/>
              <w:jc w:val="center"/>
              <w:rPr>
                <w:color w:val="000000"/>
                <w:sz w:val="20"/>
                <w:szCs w:val="20"/>
              </w:rPr>
            </w:pPr>
            <w:r w:rsidRPr="00FE5E87">
              <w:rPr>
                <w:color w:val="000000"/>
                <w:sz w:val="20"/>
                <w:szCs w:val="20"/>
              </w:rPr>
              <w:t>Кол-во</w:t>
            </w:r>
          </w:p>
        </w:tc>
        <w:tc>
          <w:tcPr>
            <w:tcW w:w="585" w:type="pct"/>
          </w:tcPr>
          <w:p w:rsidR="00130E0A" w:rsidRPr="00FE5E87" w:rsidRDefault="00130E0A" w:rsidP="002A4106">
            <w:pPr>
              <w:contextualSpacing/>
              <w:jc w:val="center"/>
              <w:rPr>
                <w:color w:val="000000"/>
                <w:sz w:val="20"/>
                <w:szCs w:val="20"/>
              </w:rPr>
            </w:pPr>
          </w:p>
        </w:tc>
      </w:tr>
      <w:tr w:rsidR="00130E0A" w:rsidRPr="00FE5E87" w:rsidTr="006A769C">
        <w:trPr>
          <w:trHeight w:val="411"/>
        </w:trPr>
        <w:tc>
          <w:tcPr>
            <w:tcW w:w="197" w:type="pct"/>
            <w:vMerge/>
          </w:tcPr>
          <w:p w:rsidR="00130E0A" w:rsidRPr="00FE5E87" w:rsidRDefault="00130E0A" w:rsidP="009D76A6">
            <w:pPr>
              <w:spacing w:line="276" w:lineRule="auto"/>
              <w:contextualSpacing/>
              <w:jc w:val="center"/>
              <w:rPr>
                <w:color w:val="000000"/>
                <w:sz w:val="20"/>
                <w:szCs w:val="20"/>
              </w:rPr>
            </w:pPr>
          </w:p>
        </w:tc>
        <w:tc>
          <w:tcPr>
            <w:tcW w:w="988" w:type="pct"/>
            <w:vMerge/>
            <w:vAlign w:val="center"/>
          </w:tcPr>
          <w:p w:rsidR="00130E0A" w:rsidRPr="00FE5E87" w:rsidRDefault="00130E0A" w:rsidP="009D76A6">
            <w:pPr>
              <w:spacing w:line="276" w:lineRule="auto"/>
              <w:contextualSpacing/>
              <w:jc w:val="center"/>
              <w:rPr>
                <w:color w:val="000000"/>
                <w:sz w:val="20"/>
                <w:szCs w:val="20"/>
              </w:rPr>
            </w:pPr>
          </w:p>
        </w:tc>
        <w:tc>
          <w:tcPr>
            <w:tcW w:w="2967" w:type="pct"/>
            <w:gridSpan w:val="4"/>
            <w:vAlign w:val="center"/>
          </w:tcPr>
          <w:p w:rsidR="00130E0A" w:rsidRPr="00FE5E87" w:rsidRDefault="00130E0A" w:rsidP="00A66091">
            <w:pPr>
              <w:pStyle w:val="afd"/>
              <w:numPr>
                <w:ilvl w:val="0"/>
                <w:numId w:val="33"/>
              </w:numPr>
              <w:jc w:val="center"/>
              <w:rPr>
                <w:color w:val="000000"/>
                <w:sz w:val="20"/>
                <w:szCs w:val="20"/>
              </w:rPr>
            </w:pPr>
            <w:r w:rsidRPr="00FE5E87">
              <w:rPr>
                <w:color w:val="000000"/>
                <w:sz w:val="20"/>
                <w:szCs w:val="20"/>
              </w:rPr>
              <w:t>Основные параметры</w:t>
            </w:r>
          </w:p>
        </w:tc>
        <w:tc>
          <w:tcPr>
            <w:tcW w:w="263" w:type="pct"/>
            <w:vMerge w:val="restart"/>
            <w:vAlign w:val="center"/>
          </w:tcPr>
          <w:p w:rsidR="00130E0A" w:rsidRPr="00FE5E87" w:rsidRDefault="00A1529F" w:rsidP="006404CC">
            <w:pPr>
              <w:contextualSpacing/>
              <w:jc w:val="center"/>
              <w:rPr>
                <w:color w:val="000000"/>
                <w:sz w:val="20"/>
                <w:szCs w:val="20"/>
              </w:rPr>
            </w:pPr>
            <w:r>
              <w:rPr>
                <w:color w:val="000000"/>
                <w:sz w:val="20"/>
                <w:szCs w:val="20"/>
              </w:rPr>
              <w:t>1</w:t>
            </w:r>
            <w:r w:rsidR="00130E0A" w:rsidRPr="00FE5E87">
              <w:rPr>
                <w:color w:val="000000"/>
                <w:sz w:val="20"/>
                <w:szCs w:val="20"/>
              </w:rPr>
              <w:t xml:space="preserve"> шт.</w:t>
            </w:r>
          </w:p>
        </w:tc>
        <w:tc>
          <w:tcPr>
            <w:tcW w:w="585" w:type="pct"/>
            <w:vMerge w:val="restart"/>
          </w:tcPr>
          <w:p w:rsidR="00130E0A" w:rsidRPr="00FE5E87" w:rsidRDefault="00130E0A" w:rsidP="006404CC">
            <w:pPr>
              <w:contextualSpacing/>
              <w:jc w:val="center"/>
              <w:rPr>
                <w:color w:val="000000"/>
                <w:sz w:val="20"/>
                <w:szCs w:val="20"/>
              </w:rPr>
            </w:pPr>
          </w:p>
        </w:tc>
      </w:tr>
      <w:tr w:rsidR="006E7F2F" w:rsidRPr="00FE5E87" w:rsidTr="006A769C">
        <w:trPr>
          <w:trHeight w:val="689"/>
        </w:trPr>
        <w:tc>
          <w:tcPr>
            <w:tcW w:w="197" w:type="pct"/>
            <w:vMerge/>
          </w:tcPr>
          <w:p w:rsidR="00F97738" w:rsidRPr="00FE5E87" w:rsidRDefault="00F97738" w:rsidP="002D0A61">
            <w:pPr>
              <w:rPr>
                <w:sz w:val="22"/>
                <w:szCs w:val="22"/>
              </w:rPr>
            </w:pPr>
          </w:p>
        </w:tc>
        <w:tc>
          <w:tcPr>
            <w:tcW w:w="988" w:type="pct"/>
            <w:vMerge/>
          </w:tcPr>
          <w:p w:rsidR="00F97738" w:rsidRPr="00FE5E87" w:rsidRDefault="00F97738" w:rsidP="002D0A61">
            <w:pPr>
              <w:rPr>
                <w:sz w:val="22"/>
                <w:szCs w:val="22"/>
              </w:rPr>
            </w:pPr>
          </w:p>
        </w:tc>
        <w:tc>
          <w:tcPr>
            <w:tcW w:w="329" w:type="pct"/>
            <w:gridSpan w:val="2"/>
            <w:vAlign w:val="center"/>
          </w:tcPr>
          <w:p w:rsidR="00F97738" w:rsidRPr="00FE5E87" w:rsidRDefault="00F97738" w:rsidP="00970F5E">
            <w:pPr>
              <w:contextualSpacing/>
              <w:jc w:val="center"/>
              <w:rPr>
                <w:color w:val="000000"/>
                <w:sz w:val="20"/>
                <w:szCs w:val="20"/>
              </w:rPr>
            </w:pPr>
            <w:r w:rsidRPr="00FE5E87">
              <w:rPr>
                <w:color w:val="000000"/>
                <w:sz w:val="20"/>
                <w:szCs w:val="20"/>
              </w:rPr>
              <w:t>1.1</w:t>
            </w:r>
          </w:p>
        </w:tc>
        <w:tc>
          <w:tcPr>
            <w:tcW w:w="1253" w:type="pct"/>
            <w:shd w:val="clear" w:color="auto" w:fill="auto"/>
            <w:vAlign w:val="center"/>
            <w:hideMark/>
          </w:tcPr>
          <w:p w:rsidR="00F97738" w:rsidRPr="00FE5E87" w:rsidRDefault="004F3AEC" w:rsidP="00970F5E">
            <w:pPr>
              <w:contextualSpacing/>
              <w:rPr>
                <w:color w:val="000000"/>
                <w:sz w:val="20"/>
                <w:szCs w:val="20"/>
              </w:rPr>
            </w:pPr>
            <w:r>
              <w:rPr>
                <w:color w:val="000000"/>
                <w:sz w:val="20"/>
                <w:szCs w:val="20"/>
              </w:rPr>
              <w:t>Область применения</w:t>
            </w:r>
          </w:p>
        </w:tc>
        <w:tc>
          <w:tcPr>
            <w:tcW w:w="1385" w:type="pct"/>
            <w:shd w:val="clear" w:color="auto" w:fill="auto"/>
            <w:vAlign w:val="center"/>
            <w:hideMark/>
          </w:tcPr>
          <w:p w:rsidR="004F3AEC" w:rsidRPr="00750D14" w:rsidRDefault="00EF193A" w:rsidP="00D2553C">
            <w:pPr>
              <w:contextualSpacing/>
              <w:jc w:val="center"/>
              <w:rPr>
                <w:color w:val="000000"/>
                <w:sz w:val="20"/>
                <w:szCs w:val="20"/>
              </w:rPr>
            </w:pPr>
            <w:r>
              <w:rPr>
                <w:color w:val="000000"/>
                <w:sz w:val="20"/>
                <w:szCs w:val="20"/>
              </w:rPr>
              <w:t>эндоскопия</w:t>
            </w:r>
          </w:p>
        </w:tc>
        <w:tc>
          <w:tcPr>
            <w:tcW w:w="263" w:type="pct"/>
            <w:vMerge/>
          </w:tcPr>
          <w:p w:rsidR="00F97738" w:rsidRPr="00FE5E87" w:rsidRDefault="00F97738" w:rsidP="009F5637">
            <w:pPr>
              <w:contextualSpacing/>
              <w:jc w:val="both"/>
              <w:rPr>
                <w:color w:val="000000"/>
                <w:sz w:val="22"/>
                <w:szCs w:val="22"/>
              </w:rPr>
            </w:pPr>
          </w:p>
        </w:tc>
        <w:tc>
          <w:tcPr>
            <w:tcW w:w="585" w:type="pct"/>
            <w:vMerge/>
          </w:tcPr>
          <w:p w:rsidR="00F97738" w:rsidRPr="00FE5E87" w:rsidRDefault="00F97738" w:rsidP="009F5637">
            <w:pPr>
              <w:contextualSpacing/>
              <w:jc w:val="both"/>
              <w:rPr>
                <w:color w:val="000000"/>
                <w:sz w:val="22"/>
                <w:szCs w:val="22"/>
              </w:rPr>
            </w:pPr>
          </w:p>
        </w:tc>
      </w:tr>
      <w:tr w:rsidR="006E7F2F" w:rsidRPr="00FE5E87" w:rsidTr="006A769C">
        <w:trPr>
          <w:trHeight w:val="689"/>
        </w:trPr>
        <w:tc>
          <w:tcPr>
            <w:tcW w:w="197" w:type="pct"/>
            <w:vMerge/>
          </w:tcPr>
          <w:p w:rsidR="00F97738" w:rsidRPr="00FE5E87" w:rsidRDefault="00F97738" w:rsidP="002D0A61">
            <w:pPr>
              <w:rPr>
                <w:sz w:val="22"/>
                <w:szCs w:val="22"/>
              </w:rPr>
            </w:pPr>
          </w:p>
        </w:tc>
        <w:tc>
          <w:tcPr>
            <w:tcW w:w="988" w:type="pct"/>
            <w:vMerge/>
          </w:tcPr>
          <w:p w:rsidR="00F97738" w:rsidRPr="00FE5E87" w:rsidRDefault="00F97738" w:rsidP="002D0A61">
            <w:pPr>
              <w:rPr>
                <w:sz w:val="22"/>
                <w:szCs w:val="22"/>
              </w:rPr>
            </w:pPr>
          </w:p>
        </w:tc>
        <w:tc>
          <w:tcPr>
            <w:tcW w:w="329" w:type="pct"/>
            <w:gridSpan w:val="2"/>
            <w:vAlign w:val="center"/>
          </w:tcPr>
          <w:p w:rsidR="00F97738" w:rsidRPr="00FE5E87" w:rsidRDefault="00F97738" w:rsidP="00667A84">
            <w:pPr>
              <w:contextualSpacing/>
              <w:jc w:val="center"/>
              <w:rPr>
                <w:color w:val="000000"/>
                <w:sz w:val="20"/>
                <w:szCs w:val="20"/>
              </w:rPr>
            </w:pPr>
            <w:r>
              <w:rPr>
                <w:color w:val="000000"/>
                <w:sz w:val="20"/>
                <w:szCs w:val="20"/>
              </w:rPr>
              <w:t>1.2</w:t>
            </w:r>
          </w:p>
        </w:tc>
        <w:tc>
          <w:tcPr>
            <w:tcW w:w="1253" w:type="pct"/>
            <w:shd w:val="clear" w:color="auto" w:fill="auto"/>
            <w:vAlign w:val="center"/>
            <w:hideMark/>
          </w:tcPr>
          <w:p w:rsidR="00F97738" w:rsidRPr="00EA1FF6" w:rsidRDefault="00EF193A" w:rsidP="00EA1FF6">
            <w:pPr>
              <w:contextualSpacing/>
              <w:rPr>
                <w:color w:val="000000"/>
                <w:sz w:val="20"/>
                <w:szCs w:val="20"/>
              </w:rPr>
            </w:pPr>
            <w:r>
              <w:rPr>
                <w:color w:val="000000"/>
                <w:sz w:val="20"/>
                <w:szCs w:val="20"/>
              </w:rPr>
              <w:t xml:space="preserve">Применение в составе </w:t>
            </w:r>
            <w:r w:rsidRPr="00EA1FF6">
              <w:rPr>
                <w:color w:val="000000"/>
                <w:sz w:val="20"/>
                <w:szCs w:val="20"/>
              </w:rPr>
              <w:t xml:space="preserve">видеопроцессора медицинского эндоскопического  "ПЕНТАКС" ЕРК-i7010, производства "ХОЯ </w:t>
            </w:r>
            <w:proofErr w:type="spellStart"/>
            <w:r w:rsidRPr="00EA1FF6">
              <w:rPr>
                <w:color w:val="000000"/>
                <w:sz w:val="20"/>
                <w:szCs w:val="20"/>
              </w:rPr>
              <w:t>Корпорейшн</w:t>
            </w:r>
            <w:proofErr w:type="spellEnd"/>
            <w:r w:rsidRPr="00EA1FF6">
              <w:rPr>
                <w:color w:val="000000"/>
                <w:sz w:val="20"/>
                <w:szCs w:val="20"/>
              </w:rPr>
              <w:t>", Япония</w:t>
            </w:r>
          </w:p>
        </w:tc>
        <w:tc>
          <w:tcPr>
            <w:tcW w:w="1385" w:type="pct"/>
            <w:shd w:val="clear" w:color="auto" w:fill="auto"/>
            <w:vAlign w:val="center"/>
            <w:hideMark/>
          </w:tcPr>
          <w:p w:rsidR="00F97738" w:rsidRDefault="00EA1FF6" w:rsidP="002D26DB">
            <w:pPr>
              <w:contextualSpacing/>
              <w:jc w:val="center"/>
              <w:rPr>
                <w:color w:val="000000"/>
                <w:sz w:val="20"/>
                <w:szCs w:val="20"/>
              </w:rPr>
            </w:pPr>
            <w:r>
              <w:rPr>
                <w:color w:val="000000"/>
                <w:sz w:val="20"/>
                <w:szCs w:val="20"/>
              </w:rPr>
              <w:t>соответствие</w:t>
            </w:r>
          </w:p>
        </w:tc>
        <w:tc>
          <w:tcPr>
            <w:tcW w:w="263" w:type="pct"/>
            <w:vMerge/>
          </w:tcPr>
          <w:p w:rsidR="00F97738" w:rsidRPr="00FE5E87" w:rsidRDefault="00F97738" w:rsidP="009F5637">
            <w:pPr>
              <w:contextualSpacing/>
              <w:jc w:val="both"/>
              <w:rPr>
                <w:color w:val="000000"/>
                <w:sz w:val="22"/>
                <w:szCs w:val="22"/>
              </w:rPr>
            </w:pPr>
          </w:p>
        </w:tc>
        <w:tc>
          <w:tcPr>
            <w:tcW w:w="585" w:type="pct"/>
            <w:vMerge/>
          </w:tcPr>
          <w:p w:rsidR="00F97738" w:rsidRPr="00FE5E87" w:rsidRDefault="00F97738" w:rsidP="009F5637">
            <w:pPr>
              <w:contextualSpacing/>
              <w:jc w:val="both"/>
              <w:rPr>
                <w:color w:val="000000"/>
                <w:sz w:val="22"/>
                <w:szCs w:val="22"/>
              </w:rPr>
            </w:pPr>
          </w:p>
        </w:tc>
      </w:tr>
      <w:tr w:rsidR="00F97738" w:rsidRPr="00FE5E87" w:rsidTr="006A769C">
        <w:trPr>
          <w:trHeight w:val="311"/>
        </w:trPr>
        <w:tc>
          <w:tcPr>
            <w:tcW w:w="197" w:type="pct"/>
            <w:vMerge/>
          </w:tcPr>
          <w:p w:rsidR="00F97738" w:rsidRPr="00FE5E87" w:rsidRDefault="00F97738" w:rsidP="002D0A61">
            <w:pPr>
              <w:rPr>
                <w:sz w:val="22"/>
                <w:szCs w:val="22"/>
              </w:rPr>
            </w:pPr>
          </w:p>
        </w:tc>
        <w:tc>
          <w:tcPr>
            <w:tcW w:w="988" w:type="pct"/>
            <w:vMerge/>
          </w:tcPr>
          <w:p w:rsidR="00F97738" w:rsidRPr="00FE5E87" w:rsidRDefault="00F97738" w:rsidP="002D0A61">
            <w:pPr>
              <w:rPr>
                <w:sz w:val="22"/>
                <w:szCs w:val="22"/>
              </w:rPr>
            </w:pPr>
          </w:p>
        </w:tc>
        <w:tc>
          <w:tcPr>
            <w:tcW w:w="2967" w:type="pct"/>
            <w:gridSpan w:val="4"/>
            <w:vAlign w:val="center"/>
          </w:tcPr>
          <w:p w:rsidR="00F97738" w:rsidRPr="00FE5E87" w:rsidRDefault="00F97738" w:rsidP="007D70FD">
            <w:pPr>
              <w:pStyle w:val="afd"/>
              <w:numPr>
                <w:ilvl w:val="0"/>
                <w:numId w:val="33"/>
              </w:numPr>
              <w:jc w:val="center"/>
              <w:rPr>
                <w:color w:val="000000"/>
                <w:sz w:val="20"/>
                <w:szCs w:val="20"/>
              </w:rPr>
            </w:pPr>
            <w:r w:rsidRPr="00FE5E87">
              <w:rPr>
                <w:color w:val="000000"/>
                <w:sz w:val="20"/>
                <w:szCs w:val="20"/>
              </w:rPr>
              <w:t>Функциональные и технические требования</w:t>
            </w:r>
          </w:p>
        </w:tc>
        <w:tc>
          <w:tcPr>
            <w:tcW w:w="263" w:type="pct"/>
            <w:vMerge/>
          </w:tcPr>
          <w:p w:rsidR="00F97738" w:rsidRPr="00FE5E87" w:rsidRDefault="00F97738" w:rsidP="009F5637">
            <w:pPr>
              <w:contextualSpacing/>
              <w:jc w:val="both"/>
              <w:rPr>
                <w:color w:val="000000"/>
                <w:sz w:val="22"/>
                <w:szCs w:val="22"/>
              </w:rPr>
            </w:pPr>
          </w:p>
        </w:tc>
        <w:tc>
          <w:tcPr>
            <w:tcW w:w="585" w:type="pct"/>
            <w:vMerge/>
          </w:tcPr>
          <w:p w:rsidR="00F97738" w:rsidRPr="00FE5E87" w:rsidRDefault="00F97738" w:rsidP="009F5637">
            <w:pPr>
              <w:contextualSpacing/>
              <w:jc w:val="both"/>
              <w:rPr>
                <w:color w:val="000000"/>
                <w:sz w:val="22"/>
                <w:szCs w:val="22"/>
              </w:rPr>
            </w:pPr>
          </w:p>
        </w:tc>
      </w:tr>
      <w:tr w:rsidR="006E7F2F" w:rsidRPr="00FE5E87" w:rsidTr="006A769C">
        <w:trPr>
          <w:trHeight w:val="401"/>
        </w:trPr>
        <w:tc>
          <w:tcPr>
            <w:tcW w:w="197" w:type="pct"/>
            <w:vMerge/>
          </w:tcPr>
          <w:p w:rsidR="00F97738" w:rsidRPr="00FE5E87" w:rsidRDefault="00F97738" w:rsidP="00FF2627">
            <w:pPr>
              <w:rPr>
                <w:sz w:val="22"/>
                <w:szCs w:val="22"/>
              </w:rPr>
            </w:pPr>
          </w:p>
        </w:tc>
        <w:tc>
          <w:tcPr>
            <w:tcW w:w="988" w:type="pct"/>
            <w:vMerge/>
          </w:tcPr>
          <w:p w:rsidR="00F97738" w:rsidRPr="00FE5E87" w:rsidRDefault="00F97738" w:rsidP="00FF2627">
            <w:pPr>
              <w:rPr>
                <w:sz w:val="22"/>
                <w:szCs w:val="22"/>
              </w:rPr>
            </w:pPr>
          </w:p>
        </w:tc>
        <w:tc>
          <w:tcPr>
            <w:tcW w:w="329" w:type="pct"/>
            <w:gridSpan w:val="2"/>
            <w:vAlign w:val="center"/>
          </w:tcPr>
          <w:p w:rsidR="00F97738" w:rsidRPr="00FE5E87" w:rsidRDefault="00F97738" w:rsidP="00667A84">
            <w:pPr>
              <w:contextualSpacing/>
              <w:jc w:val="center"/>
              <w:rPr>
                <w:color w:val="000000"/>
                <w:sz w:val="20"/>
                <w:szCs w:val="20"/>
              </w:rPr>
            </w:pPr>
            <w:r w:rsidRPr="00FE5E87">
              <w:rPr>
                <w:color w:val="000000"/>
                <w:sz w:val="20"/>
                <w:szCs w:val="20"/>
              </w:rPr>
              <w:t>2.1</w:t>
            </w:r>
          </w:p>
        </w:tc>
        <w:tc>
          <w:tcPr>
            <w:tcW w:w="1253" w:type="pct"/>
            <w:shd w:val="clear" w:color="auto" w:fill="auto"/>
            <w:vAlign w:val="center"/>
            <w:hideMark/>
          </w:tcPr>
          <w:p w:rsidR="00F97738" w:rsidRPr="00FE5E87" w:rsidRDefault="00EA1FF6" w:rsidP="00F700BD">
            <w:pPr>
              <w:contextualSpacing/>
              <w:rPr>
                <w:color w:val="000000"/>
                <w:sz w:val="20"/>
                <w:szCs w:val="20"/>
              </w:rPr>
            </w:pPr>
            <w:r>
              <w:rPr>
                <w:color w:val="000000"/>
                <w:sz w:val="20"/>
                <w:szCs w:val="20"/>
              </w:rPr>
              <w:t>Тип лампы</w:t>
            </w:r>
          </w:p>
        </w:tc>
        <w:tc>
          <w:tcPr>
            <w:tcW w:w="1385" w:type="pct"/>
            <w:shd w:val="clear" w:color="auto" w:fill="auto"/>
            <w:vAlign w:val="center"/>
            <w:hideMark/>
          </w:tcPr>
          <w:p w:rsidR="00F97738" w:rsidRPr="00FE5E87" w:rsidRDefault="00EA1FF6" w:rsidP="00306CDF">
            <w:pPr>
              <w:contextualSpacing/>
              <w:jc w:val="center"/>
              <w:rPr>
                <w:color w:val="000000"/>
                <w:sz w:val="20"/>
                <w:szCs w:val="20"/>
              </w:rPr>
            </w:pPr>
            <w:r>
              <w:rPr>
                <w:color w:val="000000"/>
                <w:sz w:val="20"/>
                <w:szCs w:val="20"/>
              </w:rPr>
              <w:t>ксеноновая</w:t>
            </w:r>
          </w:p>
        </w:tc>
        <w:tc>
          <w:tcPr>
            <w:tcW w:w="263" w:type="pct"/>
            <w:vMerge/>
          </w:tcPr>
          <w:p w:rsidR="00F97738" w:rsidRPr="00FE5E87" w:rsidRDefault="00F97738" w:rsidP="00FF2627">
            <w:pPr>
              <w:contextualSpacing/>
              <w:jc w:val="both"/>
              <w:rPr>
                <w:color w:val="000000"/>
                <w:sz w:val="22"/>
                <w:szCs w:val="22"/>
              </w:rPr>
            </w:pPr>
          </w:p>
        </w:tc>
        <w:tc>
          <w:tcPr>
            <w:tcW w:w="585" w:type="pct"/>
            <w:vMerge/>
          </w:tcPr>
          <w:p w:rsidR="00F97738" w:rsidRPr="00FE5E87" w:rsidRDefault="00F97738" w:rsidP="00FF2627">
            <w:pPr>
              <w:contextualSpacing/>
              <w:jc w:val="both"/>
              <w:rPr>
                <w:color w:val="000000"/>
                <w:sz w:val="22"/>
                <w:szCs w:val="22"/>
              </w:rPr>
            </w:pPr>
          </w:p>
        </w:tc>
      </w:tr>
      <w:tr w:rsidR="006E7F2F" w:rsidRPr="00FE5E87" w:rsidTr="006A769C">
        <w:trPr>
          <w:trHeight w:val="411"/>
        </w:trPr>
        <w:tc>
          <w:tcPr>
            <w:tcW w:w="197" w:type="pct"/>
            <w:vMerge/>
          </w:tcPr>
          <w:p w:rsidR="00F97738" w:rsidRPr="00FE5E87" w:rsidRDefault="00F97738" w:rsidP="00FF2627">
            <w:pPr>
              <w:rPr>
                <w:sz w:val="22"/>
                <w:szCs w:val="22"/>
              </w:rPr>
            </w:pPr>
          </w:p>
        </w:tc>
        <w:tc>
          <w:tcPr>
            <w:tcW w:w="988" w:type="pct"/>
            <w:vMerge/>
          </w:tcPr>
          <w:p w:rsidR="00F97738" w:rsidRPr="00FE5E87" w:rsidRDefault="00F97738" w:rsidP="00FF2627">
            <w:pPr>
              <w:rPr>
                <w:sz w:val="22"/>
                <w:szCs w:val="22"/>
              </w:rPr>
            </w:pPr>
          </w:p>
        </w:tc>
        <w:tc>
          <w:tcPr>
            <w:tcW w:w="329" w:type="pct"/>
            <w:gridSpan w:val="2"/>
            <w:vAlign w:val="center"/>
          </w:tcPr>
          <w:p w:rsidR="00F97738" w:rsidRPr="00FE5E87" w:rsidRDefault="00F97738" w:rsidP="00667A84">
            <w:pPr>
              <w:contextualSpacing/>
              <w:jc w:val="center"/>
              <w:rPr>
                <w:color w:val="000000"/>
                <w:sz w:val="20"/>
                <w:szCs w:val="20"/>
              </w:rPr>
            </w:pPr>
            <w:r w:rsidRPr="00FE5E87">
              <w:rPr>
                <w:color w:val="000000"/>
                <w:sz w:val="20"/>
                <w:szCs w:val="20"/>
              </w:rPr>
              <w:t>2.2</w:t>
            </w:r>
          </w:p>
        </w:tc>
        <w:tc>
          <w:tcPr>
            <w:tcW w:w="1253" w:type="pct"/>
            <w:shd w:val="clear" w:color="auto" w:fill="auto"/>
            <w:vAlign w:val="center"/>
            <w:hideMark/>
          </w:tcPr>
          <w:p w:rsidR="00F97738" w:rsidRPr="00FE5E87" w:rsidRDefault="00EA1FF6" w:rsidP="00F700BD">
            <w:pPr>
              <w:contextualSpacing/>
              <w:rPr>
                <w:color w:val="000000"/>
                <w:sz w:val="20"/>
                <w:szCs w:val="20"/>
              </w:rPr>
            </w:pPr>
            <w:r>
              <w:rPr>
                <w:color w:val="000000"/>
                <w:sz w:val="20"/>
                <w:szCs w:val="20"/>
              </w:rPr>
              <w:t xml:space="preserve">Мощность лампы, </w:t>
            </w:r>
            <w:proofErr w:type="gramStart"/>
            <w:r>
              <w:rPr>
                <w:color w:val="000000"/>
                <w:sz w:val="20"/>
                <w:szCs w:val="20"/>
              </w:rPr>
              <w:t>Вт</w:t>
            </w:r>
            <w:proofErr w:type="gramEnd"/>
          </w:p>
        </w:tc>
        <w:tc>
          <w:tcPr>
            <w:tcW w:w="1385" w:type="pct"/>
            <w:shd w:val="clear" w:color="auto" w:fill="auto"/>
            <w:vAlign w:val="center"/>
            <w:hideMark/>
          </w:tcPr>
          <w:p w:rsidR="00F97738" w:rsidRPr="00FE5E87" w:rsidRDefault="00EA1FF6" w:rsidP="00306CDF">
            <w:pPr>
              <w:contextualSpacing/>
              <w:jc w:val="center"/>
              <w:rPr>
                <w:color w:val="000000"/>
                <w:sz w:val="20"/>
                <w:szCs w:val="20"/>
              </w:rPr>
            </w:pPr>
            <w:r>
              <w:rPr>
                <w:color w:val="000000"/>
                <w:sz w:val="20"/>
                <w:szCs w:val="20"/>
              </w:rPr>
              <w:t>не менее 270</w:t>
            </w:r>
          </w:p>
        </w:tc>
        <w:tc>
          <w:tcPr>
            <w:tcW w:w="263" w:type="pct"/>
            <w:vMerge/>
          </w:tcPr>
          <w:p w:rsidR="00F97738" w:rsidRPr="00FE5E87" w:rsidRDefault="00F97738" w:rsidP="00FF2627">
            <w:pPr>
              <w:contextualSpacing/>
              <w:jc w:val="both"/>
              <w:rPr>
                <w:color w:val="000000"/>
                <w:sz w:val="22"/>
                <w:szCs w:val="22"/>
              </w:rPr>
            </w:pPr>
          </w:p>
        </w:tc>
        <w:tc>
          <w:tcPr>
            <w:tcW w:w="585" w:type="pct"/>
            <w:vMerge/>
          </w:tcPr>
          <w:p w:rsidR="00F97738" w:rsidRPr="00FE5E87" w:rsidRDefault="00F97738" w:rsidP="00FF2627">
            <w:pPr>
              <w:contextualSpacing/>
              <w:jc w:val="both"/>
              <w:rPr>
                <w:color w:val="000000"/>
                <w:sz w:val="22"/>
                <w:szCs w:val="22"/>
              </w:rPr>
            </w:pPr>
          </w:p>
        </w:tc>
      </w:tr>
      <w:tr w:rsidR="006E7F2F" w:rsidRPr="00FE5E87" w:rsidTr="006A769C">
        <w:trPr>
          <w:trHeight w:val="411"/>
        </w:trPr>
        <w:tc>
          <w:tcPr>
            <w:tcW w:w="197" w:type="pct"/>
            <w:vMerge/>
          </w:tcPr>
          <w:p w:rsidR="00371FF8" w:rsidRPr="00FE5E87" w:rsidRDefault="00371FF8" w:rsidP="00FF2627">
            <w:pPr>
              <w:rPr>
                <w:sz w:val="22"/>
                <w:szCs w:val="22"/>
              </w:rPr>
            </w:pPr>
          </w:p>
        </w:tc>
        <w:tc>
          <w:tcPr>
            <w:tcW w:w="988" w:type="pct"/>
            <w:vMerge/>
          </w:tcPr>
          <w:p w:rsidR="00371FF8" w:rsidRPr="00FE5E87" w:rsidRDefault="00371FF8" w:rsidP="00FF2627">
            <w:pPr>
              <w:rPr>
                <w:sz w:val="22"/>
                <w:szCs w:val="22"/>
              </w:rPr>
            </w:pPr>
          </w:p>
        </w:tc>
        <w:tc>
          <w:tcPr>
            <w:tcW w:w="329" w:type="pct"/>
            <w:gridSpan w:val="2"/>
            <w:vAlign w:val="center"/>
          </w:tcPr>
          <w:p w:rsidR="00371FF8" w:rsidRPr="00FE5E87" w:rsidRDefault="00371FF8" w:rsidP="00667A84">
            <w:pPr>
              <w:contextualSpacing/>
              <w:jc w:val="center"/>
              <w:rPr>
                <w:color w:val="000000"/>
                <w:sz w:val="20"/>
                <w:szCs w:val="20"/>
              </w:rPr>
            </w:pPr>
            <w:r w:rsidRPr="00FE5E87">
              <w:rPr>
                <w:color w:val="000000"/>
                <w:sz w:val="20"/>
                <w:szCs w:val="20"/>
              </w:rPr>
              <w:t>2.3</w:t>
            </w:r>
          </w:p>
        </w:tc>
        <w:tc>
          <w:tcPr>
            <w:tcW w:w="1253" w:type="pct"/>
            <w:shd w:val="clear" w:color="auto" w:fill="auto"/>
            <w:vAlign w:val="center"/>
            <w:hideMark/>
          </w:tcPr>
          <w:p w:rsidR="00371FF8" w:rsidRDefault="00EA1FF6" w:rsidP="00081BE0">
            <w:pPr>
              <w:contextualSpacing/>
              <w:rPr>
                <w:color w:val="000000"/>
                <w:sz w:val="20"/>
                <w:szCs w:val="20"/>
              </w:rPr>
            </w:pPr>
            <w:r>
              <w:rPr>
                <w:color w:val="000000"/>
                <w:sz w:val="20"/>
                <w:szCs w:val="20"/>
              </w:rPr>
              <w:t xml:space="preserve">Номинальное напряжение, </w:t>
            </w:r>
            <w:proofErr w:type="gramStart"/>
            <w:r>
              <w:rPr>
                <w:color w:val="000000"/>
                <w:sz w:val="20"/>
                <w:szCs w:val="20"/>
              </w:rPr>
              <w:t>В</w:t>
            </w:r>
            <w:proofErr w:type="gramEnd"/>
          </w:p>
        </w:tc>
        <w:tc>
          <w:tcPr>
            <w:tcW w:w="1385" w:type="pct"/>
            <w:shd w:val="clear" w:color="auto" w:fill="auto"/>
            <w:vAlign w:val="center"/>
            <w:hideMark/>
          </w:tcPr>
          <w:p w:rsidR="00371FF8" w:rsidRPr="00FE5E87" w:rsidRDefault="00EA1FF6" w:rsidP="00306CDF">
            <w:pPr>
              <w:tabs>
                <w:tab w:val="left" w:pos="2534"/>
              </w:tabs>
              <w:contextualSpacing/>
              <w:jc w:val="center"/>
              <w:rPr>
                <w:color w:val="000000"/>
                <w:sz w:val="20"/>
                <w:szCs w:val="20"/>
              </w:rPr>
            </w:pPr>
            <w:r>
              <w:rPr>
                <w:color w:val="000000"/>
                <w:sz w:val="20"/>
                <w:szCs w:val="20"/>
              </w:rPr>
              <w:t>не менее 12</w:t>
            </w:r>
          </w:p>
        </w:tc>
        <w:tc>
          <w:tcPr>
            <w:tcW w:w="263" w:type="pct"/>
            <w:vMerge/>
          </w:tcPr>
          <w:p w:rsidR="00371FF8" w:rsidRPr="00FE5E87" w:rsidRDefault="00371FF8" w:rsidP="00FF2627">
            <w:pPr>
              <w:contextualSpacing/>
              <w:jc w:val="both"/>
              <w:rPr>
                <w:color w:val="000000"/>
                <w:sz w:val="22"/>
                <w:szCs w:val="22"/>
              </w:rPr>
            </w:pPr>
          </w:p>
        </w:tc>
        <w:tc>
          <w:tcPr>
            <w:tcW w:w="585" w:type="pct"/>
            <w:vMerge/>
          </w:tcPr>
          <w:p w:rsidR="00371FF8" w:rsidRPr="00FE5E87" w:rsidRDefault="00371FF8" w:rsidP="00FF2627">
            <w:pPr>
              <w:contextualSpacing/>
              <w:jc w:val="both"/>
              <w:rPr>
                <w:color w:val="000000"/>
                <w:sz w:val="22"/>
                <w:szCs w:val="22"/>
              </w:rPr>
            </w:pPr>
          </w:p>
        </w:tc>
      </w:tr>
      <w:tr w:rsidR="00EA1FF6" w:rsidRPr="00FE5E87" w:rsidTr="006A769C">
        <w:trPr>
          <w:trHeight w:val="411"/>
        </w:trPr>
        <w:tc>
          <w:tcPr>
            <w:tcW w:w="197" w:type="pct"/>
            <w:vMerge/>
          </w:tcPr>
          <w:p w:rsidR="00EA1FF6" w:rsidRPr="00FE5E87" w:rsidRDefault="00EA1FF6" w:rsidP="00FF2627">
            <w:pPr>
              <w:rPr>
                <w:sz w:val="22"/>
                <w:szCs w:val="22"/>
              </w:rPr>
            </w:pPr>
          </w:p>
        </w:tc>
        <w:tc>
          <w:tcPr>
            <w:tcW w:w="988" w:type="pct"/>
            <w:vMerge/>
          </w:tcPr>
          <w:p w:rsidR="00EA1FF6" w:rsidRPr="00FE5E87" w:rsidRDefault="00EA1FF6" w:rsidP="00FF2627">
            <w:pPr>
              <w:rPr>
                <w:sz w:val="22"/>
                <w:szCs w:val="22"/>
              </w:rPr>
            </w:pPr>
          </w:p>
        </w:tc>
        <w:tc>
          <w:tcPr>
            <w:tcW w:w="329" w:type="pct"/>
            <w:gridSpan w:val="2"/>
            <w:vAlign w:val="center"/>
          </w:tcPr>
          <w:p w:rsidR="00EA1FF6" w:rsidRPr="00FE5E87" w:rsidRDefault="00EA1FF6" w:rsidP="00667A84">
            <w:pPr>
              <w:contextualSpacing/>
              <w:jc w:val="center"/>
              <w:rPr>
                <w:color w:val="000000"/>
                <w:sz w:val="20"/>
                <w:szCs w:val="20"/>
              </w:rPr>
            </w:pPr>
            <w:r>
              <w:rPr>
                <w:color w:val="000000"/>
                <w:sz w:val="20"/>
                <w:szCs w:val="20"/>
              </w:rPr>
              <w:t>2.4</w:t>
            </w:r>
          </w:p>
        </w:tc>
        <w:tc>
          <w:tcPr>
            <w:tcW w:w="1253" w:type="pct"/>
            <w:shd w:val="clear" w:color="auto" w:fill="auto"/>
            <w:vAlign w:val="center"/>
            <w:hideMark/>
          </w:tcPr>
          <w:p w:rsidR="00EA1FF6" w:rsidRDefault="00EA1FF6" w:rsidP="00081BE0">
            <w:pPr>
              <w:contextualSpacing/>
              <w:rPr>
                <w:color w:val="000000"/>
                <w:sz w:val="20"/>
                <w:szCs w:val="20"/>
              </w:rPr>
            </w:pPr>
            <w:r>
              <w:rPr>
                <w:color w:val="000000"/>
                <w:sz w:val="20"/>
                <w:szCs w:val="20"/>
              </w:rPr>
              <w:t xml:space="preserve">Время непрерывной работы, </w:t>
            </w:r>
            <w:proofErr w:type="gramStart"/>
            <w:r>
              <w:rPr>
                <w:color w:val="000000"/>
                <w:sz w:val="20"/>
                <w:szCs w:val="20"/>
              </w:rPr>
              <w:t>ч</w:t>
            </w:r>
            <w:proofErr w:type="gramEnd"/>
          </w:p>
        </w:tc>
        <w:tc>
          <w:tcPr>
            <w:tcW w:w="1385" w:type="pct"/>
            <w:shd w:val="clear" w:color="auto" w:fill="auto"/>
            <w:vAlign w:val="center"/>
            <w:hideMark/>
          </w:tcPr>
          <w:p w:rsidR="00EA1FF6" w:rsidRPr="00FE5E87" w:rsidRDefault="00EA1FF6" w:rsidP="00306CDF">
            <w:pPr>
              <w:tabs>
                <w:tab w:val="left" w:pos="2534"/>
              </w:tabs>
              <w:contextualSpacing/>
              <w:jc w:val="center"/>
              <w:rPr>
                <w:color w:val="000000"/>
                <w:sz w:val="20"/>
                <w:szCs w:val="20"/>
              </w:rPr>
            </w:pPr>
            <w:r>
              <w:rPr>
                <w:color w:val="000000"/>
                <w:sz w:val="20"/>
                <w:szCs w:val="20"/>
              </w:rPr>
              <w:t>не менее 500</w:t>
            </w:r>
          </w:p>
        </w:tc>
        <w:tc>
          <w:tcPr>
            <w:tcW w:w="263" w:type="pct"/>
            <w:vMerge/>
          </w:tcPr>
          <w:p w:rsidR="00EA1FF6" w:rsidRPr="00FE5E87" w:rsidRDefault="00EA1FF6" w:rsidP="00FF2627">
            <w:pPr>
              <w:contextualSpacing/>
              <w:jc w:val="both"/>
              <w:rPr>
                <w:color w:val="000000"/>
                <w:sz w:val="22"/>
                <w:szCs w:val="22"/>
              </w:rPr>
            </w:pPr>
          </w:p>
        </w:tc>
        <w:tc>
          <w:tcPr>
            <w:tcW w:w="585" w:type="pct"/>
            <w:vMerge/>
          </w:tcPr>
          <w:p w:rsidR="00EA1FF6" w:rsidRPr="00FE5E87" w:rsidRDefault="00EA1FF6" w:rsidP="00FF2627">
            <w:pPr>
              <w:contextualSpacing/>
              <w:jc w:val="both"/>
              <w:rPr>
                <w:color w:val="000000"/>
                <w:sz w:val="22"/>
                <w:szCs w:val="22"/>
              </w:rPr>
            </w:pPr>
          </w:p>
        </w:tc>
      </w:tr>
      <w:tr w:rsidR="00EA1FF6" w:rsidRPr="00FE5E87" w:rsidTr="006A769C">
        <w:trPr>
          <w:trHeight w:val="411"/>
        </w:trPr>
        <w:tc>
          <w:tcPr>
            <w:tcW w:w="197" w:type="pct"/>
            <w:vMerge/>
          </w:tcPr>
          <w:p w:rsidR="00EA1FF6" w:rsidRPr="00FE5E87" w:rsidRDefault="00EA1FF6" w:rsidP="00FF2627">
            <w:pPr>
              <w:rPr>
                <w:sz w:val="22"/>
                <w:szCs w:val="22"/>
              </w:rPr>
            </w:pPr>
          </w:p>
        </w:tc>
        <w:tc>
          <w:tcPr>
            <w:tcW w:w="988" w:type="pct"/>
            <w:vMerge/>
          </w:tcPr>
          <w:p w:rsidR="00EA1FF6" w:rsidRPr="00FE5E87" w:rsidRDefault="00EA1FF6" w:rsidP="00FF2627">
            <w:pPr>
              <w:rPr>
                <w:sz w:val="22"/>
                <w:szCs w:val="22"/>
              </w:rPr>
            </w:pPr>
          </w:p>
        </w:tc>
        <w:tc>
          <w:tcPr>
            <w:tcW w:w="329" w:type="pct"/>
            <w:gridSpan w:val="2"/>
            <w:vAlign w:val="center"/>
          </w:tcPr>
          <w:p w:rsidR="00EA1FF6" w:rsidRPr="00FE5E87" w:rsidRDefault="00EA1FF6" w:rsidP="00667A84">
            <w:pPr>
              <w:contextualSpacing/>
              <w:jc w:val="center"/>
              <w:rPr>
                <w:color w:val="000000"/>
                <w:sz w:val="20"/>
                <w:szCs w:val="20"/>
              </w:rPr>
            </w:pPr>
            <w:r>
              <w:rPr>
                <w:color w:val="000000"/>
                <w:sz w:val="20"/>
                <w:szCs w:val="20"/>
              </w:rPr>
              <w:t>2.5</w:t>
            </w:r>
          </w:p>
        </w:tc>
        <w:tc>
          <w:tcPr>
            <w:tcW w:w="1253" w:type="pct"/>
            <w:shd w:val="clear" w:color="auto" w:fill="auto"/>
            <w:vAlign w:val="center"/>
            <w:hideMark/>
          </w:tcPr>
          <w:p w:rsidR="00EA1FF6" w:rsidRDefault="00EA1FF6" w:rsidP="00081BE0">
            <w:pPr>
              <w:contextualSpacing/>
              <w:rPr>
                <w:color w:val="000000"/>
                <w:sz w:val="20"/>
                <w:szCs w:val="20"/>
              </w:rPr>
            </w:pPr>
            <w:r>
              <w:rPr>
                <w:color w:val="000000"/>
                <w:sz w:val="20"/>
                <w:szCs w:val="20"/>
              </w:rPr>
              <w:t xml:space="preserve">Наличие картриджа/вентилятора </w:t>
            </w:r>
          </w:p>
        </w:tc>
        <w:tc>
          <w:tcPr>
            <w:tcW w:w="1385" w:type="pct"/>
            <w:shd w:val="clear" w:color="auto" w:fill="auto"/>
            <w:vAlign w:val="center"/>
            <w:hideMark/>
          </w:tcPr>
          <w:p w:rsidR="00EA1FF6" w:rsidRPr="00FE5E87" w:rsidRDefault="00EA1FF6" w:rsidP="00306CDF">
            <w:pPr>
              <w:tabs>
                <w:tab w:val="left" w:pos="2534"/>
              </w:tabs>
              <w:contextualSpacing/>
              <w:jc w:val="center"/>
              <w:rPr>
                <w:color w:val="000000"/>
                <w:sz w:val="20"/>
                <w:szCs w:val="20"/>
              </w:rPr>
            </w:pPr>
            <w:r>
              <w:rPr>
                <w:color w:val="000000"/>
                <w:sz w:val="20"/>
                <w:szCs w:val="20"/>
              </w:rPr>
              <w:t>соответствие</w:t>
            </w:r>
          </w:p>
        </w:tc>
        <w:tc>
          <w:tcPr>
            <w:tcW w:w="263" w:type="pct"/>
            <w:vMerge/>
          </w:tcPr>
          <w:p w:rsidR="00EA1FF6" w:rsidRPr="00FE5E87" w:rsidRDefault="00EA1FF6" w:rsidP="00FF2627">
            <w:pPr>
              <w:contextualSpacing/>
              <w:jc w:val="both"/>
              <w:rPr>
                <w:color w:val="000000"/>
                <w:sz w:val="22"/>
                <w:szCs w:val="22"/>
              </w:rPr>
            </w:pPr>
          </w:p>
        </w:tc>
        <w:tc>
          <w:tcPr>
            <w:tcW w:w="585" w:type="pct"/>
            <w:vMerge/>
          </w:tcPr>
          <w:p w:rsidR="00EA1FF6" w:rsidRPr="00FE5E87" w:rsidRDefault="00EA1FF6" w:rsidP="00FF2627">
            <w:pPr>
              <w:contextualSpacing/>
              <w:jc w:val="both"/>
              <w:rPr>
                <w:color w:val="000000"/>
                <w:sz w:val="22"/>
                <w:szCs w:val="22"/>
              </w:rPr>
            </w:pPr>
          </w:p>
        </w:tc>
      </w:tr>
      <w:tr w:rsidR="00A920DB" w:rsidRPr="00FE5E87" w:rsidTr="006A769C">
        <w:trPr>
          <w:trHeight w:val="411"/>
        </w:trPr>
        <w:tc>
          <w:tcPr>
            <w:tcW w:w="197" w:type="pct"/>
            <w:vMerge/>
          </w:tcPr>
          <w:p w:rsidR="00A920DB" w:rsidRPr="00FE5E87" w:rsidRDefault="00A920DB" w:rsidP="00FF2627">
            <w:pPr>
              <w:rPr>
                <w:sz w:val="22"/>
                <w:szCs w:val="22"/>
              </w:rPr>
            </w:pPr>
          </w:p>
        </w:tc>
        <w:tc>
          <w:tcPr>
            <w:tcW w:w="988" w:type="pct"/>
            <w:vMerge/>
          </w:tcPr>
          <w:p w:rsidR="00A920DB" w:rsidRPr="00FE5E87" w:rsidRDefault="00A920DB" w:rsidP="00FF2627">
            <w:pPr>
              <w:rPr>
                <w:sz w:val="22"/>
                <w:szCs w:val="22"/>
              </w:rPr>
            </w:pPr>
          </w:p>
        </w:tc>
        <w:tc>
          <w:tcPr>
            <w:tcW w:w="2967" w:type="pct"/>
            <w:gridSpan w:val="4"/>
            <w:vAlign w:val="center"/>
          </w:tcPr>
          <w:p w:rsidR="00A920DB" w:rsidRPr="00FE5E87" w:rsidRDefault="00A920DB" w:rsidP="00577A4C">
            <w:pPr>
              <w:pStyle w:val="afd"/>
              <w:numPr>
                <w:ilvl w:val="0"/>
                <w:numId w:val="33"/>
              </w:numPr>
              <w:jc w:val="center"/>
              <w:rPr>
                <w:color w:val="000000"/>
                <w:sz w:val="20"/>
                <w:szCs w:val="20"/>
              </w:rPr>
            </w:pPr>
            <w:r w:rsidRPr="00FE5E87">
              <w:rPr>
                <w:color w:val="000000"/>
                <w:sz w:val="20"/>
                <w:szCs w:val="20"/>
              </w:rPr>
              <w:t>Комплект поставки</w:t>
            </w:r>
          </w:p>
        </w:tc>
        <w:tc>
          <w:tcPr>
            <w:tcW w:w="263" w:type="pct"/>
            <w:vMerge/>
          </w:tcPr>
          <w:p w:rsidR="00A920DB" w:rsidRPr="00FE5E87" w:rsidRDefault="00A920DB" w:rsidP="00FF2627">
            <w:pPr>
              <w:contextualSpacing/>
              <w:jc w:val="center"/>
              <w:rPr>
                <w:color w:val="000000"/>
                <w:sz w:val="20"/>
                <w:szCs w:val="20"/>
              </w:rPr>
            </w:pPr>
          </w:p>
        </w:tc>
        <w:tc>
          <w:tcPr>
            <w:tcW w:w="585" w:type="pct"/>
            <w:vMerge/>
          </w:tcPr>
          <w:p w:rsidR="00A920DB" w:rsidRPr="00FE5E87" w:rsidRDefault="00A920DB" w:rsidP="00FF2627">
            <w:pPr>
              <w:contextualSpacing/>
              <w:jc w:val="center"/>
              <w:rPr>
                <w:color w:val="000000"/>
                <w:sz w:val="20"/>
                <w:szCs w:val="20"/>
              </w:rPr>
            </w:pPr>
          </w:p>
        </w:tc>
      </w:tr>
      <w:tr w:rsidR="00D87A82" w:rsidRPr="00FE5E87" w:rsidTr="006A769C">
        <w:trPr>
          <w:trHeight w:val="411"/>
        </w:trPr>
        <w:tc>
          <w:tcPr>
            <w:tcW w:w="197" w:type="pct"/>
            <w:vMerge/>
          </w:tcPr>
          <w:p w:rsidR="006E7F2F" w:rsidRPr="00FE5E87" w:rsidRDefault="006E7F2F" w:rsidP="00FF2627">
            <w:pPr>
              <w:rPr>
                <w:sz w:val="22"/>
                <w:szCs w:val="22"/>
              </w:rPr>
            </w:pPr>
          </w:p>
        </w:tc>
        <w:tc>
          <w:tcPr>
            <w:tcW w:w="988" w:type="pct"/>
            <w:vMerge/>
          </w:tcPr>
          <w:p w:rsidR="006E7F2F" w:rsidRPr="00FE5E87" w:rsidRDefault="006E7F2F" w:rsidP="00FF2627">
            <w:pPr>
              <w:rPr>
                <w:sz w:val="22"/>
                <w:szCs w:val="22"/>
              </w:rPr>
            </w:pPr>
          </w:p>
        </w:tc>
        <w:tc>
          <w:tcPr>
            <w:tcW w:w="329" w:type="pct"/>
            <w:gridSpan w:val="2"/>
            <w:vAlign w:val="center"/>
          </w:tcPr>
          <w:p w:rsidR="006E7F2F" w:rsidRPr="00FE5E87" w:rsidRDefault="006E7F2F" w:rsidP="00081BE0">
            <w:pPr>
              <w:contextualSpacing/>
              <w:jc w:val="center"/>
              <w:rPr>
                <w:color w:val="000000"/>
                <w:sz w:val="20"/>
                <w:szCs w:val="20"/>
              </w:rPr>
            </w:pPr>
            <w:r w:rsidRPr="00FE5E87">
              <w:rPr>
                <w:color w:val="000000"/>
                <w:sz w:val="20"/>
                <w:szCs w:val="20"/>
              </w:rPr>
              <w:t>3.1</w:t>
            </w:r>
          </w:p>
        </w:tc>
        <w:tc>
          <w:tcPr>
            <w:tcW w:w="1253" w:type="pct"/>
            <w:shd w:val="clear" w:color="auto" w:fill="auto"/>
            <w:vAlign w:val="center"/>
            <w:hideMark/>
          </w:tcPr>
          <w:p w:rsidR="006E7F2F" w:rsidRDefault="00EA1FF6" w:rsidP="00AB5B10">
            <w:pPr>
              <w:contextualSpacing/>
              <w:rPr>
                <w:color w:val="000000"/>
                <w:sz w:val="20"/>
                <w:szCs w:val="20"/>
              </w:rPr>
            </w:pPr>
            <w:r>
              <w:rPr>
                <w:color w:val="000000"/>
                <w:sz w:val="20"/>
                <w:szCs w:val="20"/>
              </w:rPr>
              <w:t>Лампа ксеноновая</w:t>
            </w:r>
            <w:r w:rsidR="006E7F2F">
              <w:rPr>
                <w:color w:val="000000"/>
                <w:sz w:val="20"/>
                <w:szCs w:val="20"/>
              </w:rPr>
              <w:t>, шт.</w:t>
            </w:r>
          </w:p>
        </w:tc>
        <w:tc>
          <w:tcPr>
            <w:tcW w:w="1385" w:type="pct"/>
            <w:shd w:val="clear" w:color="auto" w:fill="auto"/>
            <w:vAlign w:val="center"/>
            <w:hideMark/>
          </w:tcPr>
          <w:p w:rsidR="006E7F2F" w:rsidRPr="00BA58DB" w:rsidRDefault="006E7F2F" w:rsidP="00081BE0">
            <w:pPr>
              <w:contextualSpacing/>
              <w:jc w:val="center"/>
              <w:rPr>
                <w:color w:val="000000"/>
                <w:sz w:val="20"/>
                <w:szCs w:val="20"/>
              </w:rPr>
            </w:pPr>
            <w:r>
              <w:rPr>
                <w:color w:val="000000"/>
                <w:sz w:val="20"/>
                <w:szCs w:val="20"/>
              </w:rPr>
              <w:t>1</w:t>
            </w:r>
          </w:p>
        </w:tc>
        <w:tc>
          <w:tcPr>
            <w:tcW w:w="263" w:type="pct"/>
            <w:vMerge/>
          </w:tcPr>
          <w:p w:rsidR="006E7F2F" w:rsidRPr="00FE5E87" w:rsidRDefault="006E7F2F" w:rsidP="00FF2627">
            <w:pPr>
              <w:contextualSpacing/>
              <w:jc w:val="center"/>
              <w:rPr>
                <w:color w:val="000000"/>
                <w:sz w:val="20"/>
                <w:szCs w:val="20"/>
              </w:rPr>
            </w:pPr>
          </w:p>
        </w:tc>
        <w:tc>
          <w:tcPr>
            <w:tcW w:w="585" w:type="pct"/>
            <w:vMerge/>
          </w:tcPr>
          <w:p w:rsidR="006E7F2F" w:rsidRPr="00FE5E87" w:rsidRDefault="006E7F2F" w:rsidP="00FF2627">
            <w:pPr>
              <w:contextualSpacing/>
              <w:jc w:val="center"/>
              <w:rPr>
                <w:color w:val="000000"/>
                <w:sz w:val="20"/>
                <w:szCs w:val="20"/>
              </w:rPr>
            </w:pPr>
          </w:p>
        </w:tc>
      </w:tr>
      <w:tr w:rsidR="00AB5B10" w:rsidRPr="00FE5E87" w:rsidTr="006A769C">
        <w:trPr>
          <w:trHeight w:val="411"/>
        </w:trPr>
        <w:tc>
          <w:tcPr>
            <w:tcW w:w="197" w:type="pct"/>
            <w:vMerge/>
          </w:tcPr>
          <w:p w:rsidR="00AB5B10" w:rsidRPr="00FE5E87" w:rsidRDefault="00AB5B10" w:rsidP="00FF2627">
            <w:pPr>
              <w:rPr>
                <w:sz w:val="22"/>
                <w:szCs w:val="22"/>
              </w:rPr>
            </w:pPr>
          </w:p>
        </w:tc>
        <w:tc>
          <w:tcPr>
            <w:tcW w:w="988" w:type="pct"/>
            <w:vMerge/>
          </w:tcPr>
          <w:p w:rsidR="00AB5B10" w:rsidRPr="00FE5E87" w:rsidRDefault="00AB5B10" w:rsidP="00FF2627">
            <w:pPr>
              <w:rPr>
                <w:sz w:val="22"/>
                <w:szCs w:val="22"/>
              </w:rPr>
            </w:pPr>
          </w:p>
        </w:tc>
        <w:tc>
          <w:tcPr>
            <w:tcW w:w="329" w:type="pct"/>
            <w:gridSpan w:val="2"/>
            <w:vAlign w:val="center"/>
          </w:tcPr>
          <w:p w:rsidR="00AB5B10" w:rsidRPr="00FE5E87" w:rsidRDefault="00AB5B10" w:rsidP="00081BE0">
            <w:pPr>
              <w:contextualSpacing/>
              <w:jc w:val="center"/>
              <w:rPr>
                <w:color w:val="000000"/>
                <w:sz w:val="20"/>
                <w:szCs w:val="20"/>
              </w:rPr>
            </w:pPr>
            <w:r w:rsidRPr="00FE5E87">
              <w:rPr>
                <w:color w:val="000000"/>
                <w:sz w:val="20"/>
                <w:szCs w:val="20"/>
              </w:rPr>
              <w:t>3.</w:t>
            </w:r>
            <w:r>
              <w:rPr>
                <w:color w:val="000000"/>
                <w:sz w:val="20"/>
                <w:szCs w:val="20"/>
              </w:rPr>
              <w:t>2</w:t>
            </w:r>
          </w:p>
        </w:tc>
        <w:tc>
          <w:tcPr>
            <w:tcW w:w="1253" w:type="pct"/>
            <w:shd w:val="clear" w:color="auto" w:fill="auto"/>
            <w:vAlign w:val="center"/>
            <w:hideMark/>
          </w:tcPr>
          <w:p w:rsidR="00AB5B10" w:rsidRPr="00FE5E87" w:rsidRDefault="00EA1FF6" w:rsidP="004C5045">
            <w:pPr>
              <w:contextualSpacing/>
              <w:rPr>
                <w:color w:val="000000"/>
                <w:sz w:val="20"/>
                <w:szCs w:val="20"/>
              </w:rPr>
            </w:pPr>
            <w:r>
              <w:rPr>
                <w:color w:val="000000"/>
                <w:sz w:val="20"/>
                <w:szCs w:val="20"/>
              </w:rPr>
              <w:t>Заверенная соответствующим образом</w:t>
            </w:r>
            <w:r w:rsidRPr="00FE5E87">
              <w:rPr>
                <w:color w:val="000000"/>
                <w:sz w:val="20"/>
                <w:szCs w:val="20"/>
              </w:rPr>
              <w:t xml:space="preserve"> </w:t>
            </w:r>
            <w:r>
              <w:rPr>
                <w:color w:val="000000"/>
                <w:sz w:val="20"/>
                <w:szCs w:val="20"/>
              </w:rPr>
              <w:t xml:space="preserve"> к</w:t>
            </w:r>
            <w:r w:rsidRPr="00FE5E87">
              <w:rPr>
                <w:color w:val="000000"/>
                <w:sz w:val="20"/>
                <w:szCs w:val="20"/>
              </w:rPr>
              <w:t>опия декларации соответствия/ сертификата соответствия, экз.</w:t>
            </w:r>
          </w:p>
        </w:tc>
        <w:tc>
          <w:tcPr>
            <w:tcW w:w="1385" w:type="pct"/>
            <w:shd w:val="clear" w:color="auto" w:fill="auto"/>
            <w:vAlign w:val="center"/>
            <w:hideMark/>
          </w:tcPr>
          <w:p w:rsidR="00AB5B10" w:rsidRPr="00FE5E87" w:rsidRDefault="00AB5B10" w:rsidP="004C5045">
            <w:pPr>
              <w:jc w:val="center"/>
              <w:rPr>
                <w:color w:val="000000"/>
                <w:sz w:val="20"/>
                <w:szCs w:val="20"/>
              </w:rPr>
            </w:pPr>
            <w:r w:rsidRPr="00FE5E87">
              <w:rPr>
                <w:color w:val="000000"/>
                <w:sz w:val="20"/>
                <w:szCs w:val="20"/>
              </w:rPr>
              <w:t>1</w:t>
            </w:r>
          </w:p>
        </w:tc>
        <w:tc>
          <w:tcPr>
            <w:tcW w:w="263" w:type="pct"/>
            <w:vMerge/>
          </w:tcPr>
          <w:p w:rsidR="00AB5B10" w:rsidRPr="00FE5E87" w:rsidRDefault="00AB5B10" w:rsidP="00FF2627">
            <w:pPr>
              <w:contextualSpacing/>
              <w:jc w:val="center"/>
              <w:rPr>
                <w:color w:val="000000"/>
                <w:sz w:val="20"/>
                <w:szCs w:val="20"/>
              </w:rPr>
            </w:pPr>
          </w:p>
        </w:tc>
        <w:tc>
          <w:tcPr>
            <w:tcW w:w="585" w:type="pct"/>
            <w:vMerge/>
          </w:tcPr>
          <w:p w:rsidR="00AB5B10" w:rsidRPr="00FE5E87" w:rsidRDefault="00AB5B10" w:rsidP="00FF2627">
            <w:pPr>
              <w:contextualSpacing/>
              <w:jc w:val="center"/>
              <w:rPr>
                <w:color w:val="000000"/>
                <w:sz w:val="20"/>
                <w:szCs w:val="20"/>
              </w:rPr>
            </w:pPr>
          </w:p>
        </w:tc>
      </w:tr>
      <w:tr w:rsidR="00AB5B10" w:rsidRPr="00FE5E87" w:rsidTr="006A769C">
        <w:trPr>
          <w:trHeight w:val="411"/>
        </w:trPr>
        <w:tc>
          <w:tcPr>
            <w:tcW w:w="197" w:type="pct"/>
            <w:vMerge/>
          </w:tcPr>
          <w:p w:rsidR="00AB5B10" w:rsidRPr="00FE5E87" w:rsidRDefault="00AB5B10" w:rsidP="00FF2627">
            <w:pPr>
              <w:rPr>
                <w:sz w:val="22"/>
                <w:szCs w:val="22"/>
              </w:rPr>
            </w:pPr>
          </w:p>
        </w:tc>
        <w:tc>
          <w:tcPr>
            <w:tcW w:w="988" w:type="pct"/>
            <w:vMerge/>
          </w:tcPr>
          <w:p w:rsidR="00AB5B10" w:rsidRPr="00FE5E87" w:rsidRDefault="00AB5B10" w:rsidP="00FF2627">
            <w:pPr>
              <w:rPr>
                <w:sz w:val="22"/>
                <w:szCs w:val="22"/>
              </w:rPr>
            </w:pPr>
          </w:p>
        </w:tc>
        <w:tc>
          <w:tcPr>
            <w:tcW w:w="2967" w:type="pct"/>
            <w:gridSpan w:val="4"/>
            <w:vAlign w:val="center"/>
          </w:tcPr>
          <w:p w:rsidR="00AB5B10" w:rsidRPr="00FE5E87" w:rsidRDefault="00AB5B10" w:rsidP="000054F6">
            <w:pPr>
              <w:pStyle w:val="afd"/>
              <w:numPr>
                <w:ilvl w:val="0"/>
                <w:numId w:val="33"/>
              </w:numPr>
              <w:jc w:val="center"/>
              <w:rPr>
                <w:color w:val="000000"/>
                <w:sz w:val="20"/>
                <w:szCs w:val="20"/>
              </w:rPr>
            </w:pPr>
            <w:r w:rsidRPr="00FE5E87">
              <w:rPr>
                <w:color w:val="000000"/>
                <w:sz w:val="20"/>
                <w:szCs w:val="20"/>
              </w:rPr>
              <w:t xml:space="preserve">Требования </w:t>
            </w:r>
            <w:proofErr w:type="gramStart"/>
            <w:r w:rsidRPr="00FE5E87">
              <w:rPr>
                <w:color w:val="000000"/>
                <w:sz w:val="20"/>
                <w:szCs w:val="20"/>
              </w:rPr>
              <w:t>к</w:t>
            </w:r>
            <w:proofErr w:type="gramEnd"/>
            <w:r w:rsidRPr="00FE5E87">
              <w:rPr>
                <w:color w:val="000000"/>
                <w:sz w:val="20"/>
                <w:szCs w:val="20"/>
              </w:rPr>
              <w:t xml:space="preserve"> условия поставки</w:t>
            </w:r>
          </w:p>
        </w:tc>
        <w:tc>
          <w:tcPr>
            <w:tcW w:w="263" w:type="pct"/>
            <w:vMerge/>
          </w:tcPr>
          <w:p w:rsidR="00AB5B10" w:rsidRPr="00FE5E87" w:rsidRDefault="00AB5B10" w:rsidP="00FF2627">
            <w:pPr>
              <w:jc w:val="center"/>
              <w:rPr>
                <w:color w:val="000000"/>
                <w:sz w:val="20"/>
                <w:szCs w:val="20"/>
              </w:rPr>
            </w:pPr>
          </w:p>
        </w:tc>
        <w:tc>
          <w:tcPr>
            <w:tcW w:w="585" w:type="pct"/>
            <w:vMerge/>
          </w:tcPr>
          <w:p w:rsidR="00AB5B10" w:rsidRPr="00FE5E87" w:rsidRDefault="00AB5B10" w:rsidP="00FF2627">
            <w:pPr>
              <w:jc w:val="center"/>
              <w:rPr>
                <w:color w:val="000000"/>
                <w:sz w:val="20"/>
                <w:szCs w:val="20"/>
              </w:rPr>
            </w:pPr>
          </w:p>
        </w:tc>
      </w:tr>
      <w:tr w:rsidR="00AB5B10" w:rsidRPr="00570C30" w:rsidTr="006A769C">
        <w:trPr>
          <w:trHeight w:val="411"/>
        </w:trPr>
        <w:tc>
          <w:tcPr>
            <w:tcW w:w="197" w:type="pct"/>
            <w:vMerge/>
          </w:tcPr>
          <w:p w:rsidR="00AB5B10" w:rsidRPr="00FE5E87" w:rsidRDefault="00AB5B10" w:rsidP="00FF2627">
            <w:pPr>
              <w:rPr>
                <w:sz w:val="22"/>
                <w:szCs w:val="22"/>
              </w:rPr>
            </w:pPr>
          </w:p>
        </w:tc>
        <w:tc>
          <w:tcPr>
            <w:tcW w:w="988" w:type="pct"/>
            <w:vMerge/>
          </w:tcPr>
          <w:p w:rsidR="00AB5B10" w:rsidRPr="00FE5E87" w:rsidRDefault="00AB5B10" w:rsidP="00FF2627">
            <w:pPr>
              <w:rPr>
                <w:sz w:val="22"/>
                <w:szCs w:val="22"/>
              </w:rPr>
            </w:pPr>
          </w:p>
        </w:tc>
        <w:tc>
          <w:tcPr>
            <w:tcW w:w="329" w:type="pct"/>
            <w:gridSpan w:val="2"/>
            <w:vAlign w:val="center"/>
          </w:tcPr>
          <w:p w:rsidR="00AB5B10" w:rsidRPr="00FE5E87" w:rsidRDefault="00AB5B10" w:rsidP="00667A84">
            <w:pPr>
              <w:jc w:val="center"/>
              <w:rPr>
                <w:color w:val="000000"/>
                <w:sz w:val="20"/>
                <w:szCs w:val="20"/>
              </w:rPr>
            </w:pPr>
            <w:r w:rsidRPr="00FE5E87">
              <w:rPr>
                <w:color w:val="000000"/>
                <w:sz w:val="20"/>
                <w:szCs w:val="20"/>
              </w:rPr>
              <w:t>4.1</w:t>
            </w:r>
          </w:p>
        </w:tc>
        <w:tc>
          <w:tcPr>
            <w:tcW w:w="1253" w:type="pct"/>
            <w:shd w:val="clear" w:color="auto" w:fill="auto"/>
            <w:vAlign w:val="center"/>
            <w:hideMark/>
          </w:tcPr>
          <w:p w:rsidR="00AB5B10" w:rsidRPr="00FE5E87" w:rsidRDefault="00AB5B10" w:rsidP="00AB5B10">
            <w:pPr>
              <w:rPr>
                <w:color w:val="000000"/>
                <w:sz w:val="20"/>
                <w:szCs w:val="20"/>
              </w:rPr>
            </w:pPr>
            <w:r>
              <w:rPr>
                <w:color w:val="000000"/>
                <w:sz w:val="20"/>
                <w:szCs w:val="20"/>
              </w:rPr>
              <w:t>Адрес поставки</w:t>
            </w:r>
          </w:p>
        </w:tc>
        <w:tc>
          <w:tcPr>
            <w:tcW w:w="1385" w:type="pct"/>
            <w:shd w:val="clear" w:color="auto" w:fill="auto"/>
            <w:vAlign w:val="center"/>
            <w:hideMark/>
          </w:tcPr>
          <w:p w:rsidR="00AB5B10" w:rsidRPr="00570C30" w:rsidRDefault="00AB5B10" w:rsidP="00AB5B10">
            <w:pPr>
              <w:contextualSpacing/>
              <w:jc w:val="center"/>
              <w:rPr>
                <w:color w:val="000000"/>
                <w:sz w:val="20"/>
                <w:szCs w:val="20"/>
              </w:rPr>
            </w:pPr>
            <w:r w:rsidRPr="00FE5E87">
              <w:rPr>
                <w:color w:val="000000"/>
                <w:sz w:val="20"/>
                <w:szCs w:val="20"/>
              </w:rPr>
              <w:t xml:space="preserve">г. Самара, ул. </w:t>
            </w:r>
            <w:r>
              <w:rPr>
                <w:color w:val="000000"/>
                <w:sz w:val="20"/>
                <w:szCs w:val="20"/>
              </w:rPr>
              <w:t>Ново-Садовая, 222Б, строение 1</w:t>
            </w:r>
            <w:r w:rsidRPr="00570C30">
              <w:rPr>
                <w:color w:val="000000"/>
                <w:sz w:val="20"/>
                <w:szCs w:val="20"/>
              </w:rPr>
              <w:t xml:space="preserve"> </w:t>
            </w:r>
          </w:p>
        </w:tc>
        <w:tc>
          <w:tcPr>
            <w:tcW w:w="263" w:type="pct"/>
            <w:vMerge/>
          </w:tcPr>
          <w:p w:rsidR="00AB5B10" w:rsidRPr="00570C30" w:rsidRDefault="00AB5B10" w:rsidP="00FF2627">
            <w:pPr>
              <w:jc w:val="center"/>
              <w:rPr>
                <w:color w:val="000000"/>
                <w:sz w:val="20"/>
                <w:szCs w:val="20"/>
              </w:rPr>
            </w:pPr>
          </w:p>
        </w:tc>
        <w:tc>
          <w:tcPr>
            <w:tcW w:w="585" w:type="pct"/>
            <w:vMerge/>
          </w:tcPr>
          <w:p w:rsidR="00AB5B10" w:rsidRPr="00570C30" w:rsidRDefault="00AB5B10" w:rsidP="00FF2627">
            <w:pPr>
              <w:jc w:val="center"/>
              <w:rPr>
                <w:color w:val="000000"/>
                <w:sz w:val="20"/>
                <w:szCs w:val="20"/>
              </w:rPr>
            </w:pPr>
          </w:p>
        </w:tc>
      </w:tr>
    </w:tbl>
    <w:p w:rsidR="00936F09" w:rsidRDefault="00936F09" w:rsidP="00936F09">
      <w:pPr>
        <w:rPr>
          <w:sz w:val="22"/>
          <w:szCs w:val="22"/>
        </w:rPr>
      </w:pPr>
    </w:p>
    <w:p w:rsidR="00EA1FF6" w:rsidRDefault="00EA1FF6" w:rsidP="00936F09">
      <w:pPr>
        <w:jc w:val="right"/>
        <w:rPr>
          <w:sz w:val="22"/>
          <w:szCs w:val="22"/>
        </w:rPr>
      </w:pPr>
    </w:p>
    <w:p w:rsidR="00936F09" w:rsidRDefault="00936F09" w:rsidP="00936F09">
      <w:pPr>
        <w:jc w:val="right"/>
        <w:rPr>
          <w:sz w:val="22"/>
          <w:szCs w:val="22"/>
        </w:rPr>
      </w:pPr>
      <w:r>
        <w:rPr>
          <w:sz w:val="22"/>
          <w:szCs w:val="22"/>
        </w:rPr>
        <w:t xml:space="preserve">Составил: </w:t>
      </w:r>
    </w:p>
    <w:p w:rsidR="00936F09" w:rsidRDefault="005804CF" w:rsidP="00936F09">
      <w:pPr>
        <w:jc w:val="right"/>
        <w:rPr>
          <w:sz w:val="22"/>
          <w:szCs w:val="22"/>
        </w:rPr>
      </w:pPr>
      <w:r>
        <w:rPr>
          <w:sz w:val="22"/>
          <w:szCs w:val="22"/>
        </w:rPr>
        <w:t>Ведущий и</w:t>
      </w:r>
      <w:r w:rsidR="00936F09">
        <w:rPr>
          <w:sz w:val="22"/>
          <w:szCs w:val="22"/>
        </w:rPr>
        <w:t xml:space="preserve">нженер </w:t>
      </w:r>
    </w:p>
    <w:p w:rsidR="00936F09" w:rsidRDefault="00936F09" w:rsidP="00936F09">
      <w:pPr>
        <w:jc w:val="right"/>
        <w:rPr>
          <w:sz w:val="22"/>
          <w:szCs w:val="22"/>
        </w:rPr>
      </w:pPr>
      <w:r>
        <w:rPr>
          <w:sz w:val="22"/>
          <w:szCs w:val="22"/>
        </w:rPr>
        <w:t xml:space="preserve">____________ </w:t>
      </w:r>
      <w:r w:rsidR="00203B55">
        <w:rPr>
          <w:sz w:val="22"/>
          <w:szCs w:val="22"/>
        </w:rPr>
        <w:t>Н.А. Боброва</w:t>
      </w:r>
    </w:p>
    <w:p w:rsidR="00936F09" w:rsidRDefault="00936F09" w:rsidP="00936F09">
      <w:pPr>
        <w:jc w:val="right"/>
        <w:rPr>
          <w:sz w:val="22"/>
          <w:szCs w:val="22"/>
        </w:rPr>
      </w:pPr>
    </w:p>
    <w:p w:rsidR="00936F09" w:rsidRDefault="00936F09" w:rsidP="00936F09">
      <w:pPr>
        <w:jc w:val="right"/>
        <w:rPr>
          <w:sz w:val="22"/>
          <w:szCs w:val="22"/>
        </w:rPr>
      </w:pPr>
      <w:r>
        <w:rPr>
          <w:sz w:val="22"/>
          <w:szCs w:val="22"/>
        </w:rPr>
        <w:t>СОГЛАСОВАНО:</w:t>
      </w:r>
    </w:p>
    <w:p w:rsidR="00936F09" w:rsidRDefault="00936F09" w:rsidP="00936F09">
      <w:pPr>
        <w:spacing w:before="240"/>
        <w:jc w:val="right"/>
        <w:rPr>
          <w:sz w:val="22"/>
          <w:szCs w:val="22"/>
        </w:rPr>
      </w:pPr>
      <w:r>
        <w:rPr>
          <w:sz w:val="22"/>
          <w:szCs w:val="22"/>
        </w:rPr>
        <w:t xml:space="preserve">Заместитель главного врача </w:t>
      </w:r>
    </w:p>
    <w:p w:rsidR="00936F09" w:rsidRDefault="00936F09" w:rsidP="00936F09">
      <w:pPr>
        <w:jc w:val="right"/>
        <w:rPr>
          <w:sz w:val="22"/>
          <w:szCs w:val="22"/>
        </w:rPr>
      </w:pPr>
      <w:r>
        <w:rPr>
          <w:sz w:val="22"/>
          <w:szCs w:val="22"/>
        </w:rPr>
        <w:t>по административно - хозяйственной части</w:t>
      </w:r>
    </w:p>
    <w:p w:rsidR="00936F09" w:rsidRPr="00570C30" w:rsidRDefault="00936F09" w:rsidP="00936F09">
      <w:pPr>
        <w:spacing w:before="240"/>
        <w:jc w:val="right"/>
        <w:rPr>
          <w:sz w:val="22"/>
          <w:szCs w:val="22"/>
        </w:rPr>
      </w:pPr>
      <w:r>
        <w:rPr>
          <w:sz w:val="22"/>
          <w:szCs w:val="22"/>
        </w:rPr>
        <w:t xml:space="preserve">______________ А.В. </w:t>
      </w:r>
      <w:proofErr w:type="spellStart"/>
      <w:r>
        <w:rPr>
          <w:sz w:val="22"/>
          <w:szCs w:val="22"/>
        </w:rPr>
        <w:t>Матичук</w:t>
      </w:r>
      <w:proofErr w:type="spellEnd"/>
    </w:p>
    <w:p w:rsidR="00B4680B" w:rsidRPr="00570C30" w:rsidRDefault="00B4680B" w:rsidP="00452E02">
      <w:pPr>
        <w:rPr>
          <w:sz w:val="22"/>
          <w:szCs w:val="22"/>
        </w:rPr>
      </w:pPr>
    </w:p>
    <w:sectPr w:rsidR="00B4680B" w:rsidRPr="00570C30" w:rsidSect="00936F09">
      <w:footerReference w:type="even" r:id="rId8"/>
      <w:footerReference w:type="default" r:id="rId9"/>
      <w:pgSz w:w="11906" w:h="16838"/>
      <w:pgMar w:top="426" w:right="70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A4" w:rsidRDefault="00D43DA4">
      <w:r>
        <w:separator/>
      </w:r>
    </w:p>
  </w:endnote>
  <w:endnote w:type="continuationSeparator" w:id="0">
    <w:p w:rsidR="00D43DA4" w:rsidRDefault="00D43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E72285">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E72285">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166BF6">
      <w:rPr>
        <w:rStyle w:val="a9"/>
        <w:noProof/>
      </w:rPr>
      <w:t>2</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A4" w:rsidRDefault="00D43DA4">
      <w:r>
        <w:separator/>
      </w:r>
    </w:p>
  </w:footnote>
  <w:footnote w:type="continuationSeparator" w:id="0">
    <w:p w:rsidR="00D43DA4" w:rsidRDefault="00D43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858AA"/>
    <w:multiLevelType w:val="hybridMultilevel"/>
    <w:tmpl w:val="234687F4"/>
    <w:lvl w:ilvl="0" w:tplc="D2D24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0DE257F"/>
    <w:multiLevelType w:val="hybridMultilevel"/>
    <w:tmpl w:val="3EA23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F51B2F"/>
    <w:multiLevelType w:val="hybridMultilevel"/>
    <w:tmpl w:val="07A45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1"/>
  </w:num>
  <w:num w:numId="4">
    <w:abstractNumId w:val="12"/>
  </w:num>
  <w:num w:numId="5">
    <w:abstractNumId w:val="27"/>
  </w:num>
  <w:num w:numId="6">
    <w:abstractNumId w:val="16"/>
  </w:num>
  <w:num w:numId="7">
    <w:abstractNumId w:val="30"/>
  </w:num>
  <w:num w:numId="8">
    <w:abstractNumId w:val="23"/>
  </w:num>
  <w:num w:numId="9">
    <w:abstractNumId w:val="11"/>
  </w:num>
  <w:num w:numId="10">
    <w:abstractNumId w:val="1"/>
  </w:num>
  <w:num w:numId="11">
    <w:abstractNumId w:val="15"/>
  </w:num>
  <w:num w:numId="12">
    <w:abstractNumId w:val="29"/>
  </w:num>
  <w:num w:numId="13">
    <w:abstractNumId w:val="9"/>
  </w:num>
  <w:num w:numId="14">
    <w:abstractNumId w:val="19"/>
  </w:num>
  <w:num w:numId="15">
    <w:abstractNumId w:val="18"/>
  </w:num>
  <w:num w:numId="16">
    <w:abstractNumId w:val="21"/>
  </w:num>
  <w:num w:numId="17">
    <w:abstractNumId w:val="22"/>
  </w:num>
  <w:num w:numId="18">
    <w:abstractNumId w:val="0"/>
  </w:num>
  <w:num w:numId="19">
    <w:abstractNumId w:val="24"/>
  </w:num>
  <w:num w:numId="20">
    <w:abstractNumId w:val="2"/>
  </w:num>
  <w:num w:numId="21">
    <w:abstractNumId w:val="4"/>
  </w:num>
  <w:num w:numId="22">
    <w:abstractNumId w:val="14"/>
  </w:num>
  <w:num w:numId="23">
    <w:abstractNumId w:val="20"/>
  </w:num>
  <w:num w:numId="24">
    <w:abstractNumId w:val="17"/>
  </w:num>
  <w:num w:numId="25">
    <w:abstractNumId w:val="25"/>
  </w:num>
  <w:num w:numId="26">
    <w:abstractNumId w:val="13"/>
  </w:num>
  <w:num w:numId="27">
    <w:abstractNumId w:val="3"/>
  </w:num>
  <w:num w:numId="28">
    <w:abstractNumId w:val="28"/>
  </w:num>
  <w:num w:numId="29">
    <w:abstractNumId w:val="26"/>
  </w:num>
  <w:num w:numId="30">
    <w:abstractNumId w:val="32"/>
  </w:num>
  <w:num w:numId="31">
    <w:abstractNumId w:val="34"/>
  </w:num>
  <w:num w:numId="32">
    <w:abstractNumId w:val="6"/>
  </w:num>
  <w:num w:numId="33">
    <w:abstractNumId w:val="5"/>
  </w:num>
  <w:num w:numId="34">
    <w:abstractNumId w:val="8"/>
  </w:num>
  <w:num w:numId="35">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90466"/>
  </w:hdrShapeDefaults>
  <w:footnotePr>
    <w:footnote w:id="-1"/>
    <w:footnote w:id="0"/>
  </w:footnotePr>
  <w:endnotePr>
    <w:endnote w:id="-1"/>
    <w:endnote w:id="0"/>
  </w:endnotePr>
  <w:compat/>
  <w:rsids>
    <w:rsidRoot w:val="00052BB3"/>
    <w:rsid w:val="00001117"/>
    <w:rsid w:val="00002505"/>
    <w:rsid w:val="000054F6"/>
    <w:rsid w:val="0001105C"/>
    <w:rsid w:val="00012E2A"/>
    <w:rsid w:val="00034EF9"/>
    <w:rsid w:val="00035165"/>
    <w:rsid w:val="00036D4D"/>
    <w:rsid w:val="00045DC8"/>
    <w:rsid w:val="0004646E"/>
    <w:rsid w:val="00052BB3"/>
    <w:rsid w:val="000539B4"/>
    <w:rsid w:val="00056BBD"/>
    <w:rsid w:val="00070452"/>
    <w:rsid w:val="00072870"/>
    <w:rsid w:val="00075D85"/>
    <w:rsid w:val="000818BA"/>
    <w:rsid w:val="00085124"/>
    <w:rsid w:val="00086E9A"/>
    <w:rsid w:val="000A04AD"/>
    <w:rsid w:val="000A118E"/>
    <w:rsid w:val="000A16EC"/>
    <w:rsid w:val="000A195A"/>
    <w:rsid w:val="000A42A9"/>
    <w:rsid w:val="000A45FD"/>
    <w:rsid w:val="000A4F10"/>
    <w:rsid w:val="000A5F75"/>
    <w:rsid w:val="000B3176"/>
    <w:rsid w:val="000B4A78"/>
    <w:rsid w:val="000B55BD"/>
    <w:rsid w:val="000B6D83"/>
    <w:rsid w:val="000C0BDE"/>
    <w:rsid w:val="000C0DFE"/>
    <w:rsid w:val="000C196E"/>
    <w:rsid w:val="000D009F"/>
    <w:rsid w:val="000E5F51"/>
    <w:rsid w:val="000F0870"/>
    <w:rsid w:val="000F3680"/>
    <w:rsid w:val="00102CF3"/>
    <w:rsid w:val="00106D15"/>
    <w:rsid w:val="0011130E"/>
    <w:rsid w:val="0011281D"/>
    <w:rsid w:val="00113CD5"/>
    <w:rsid w:val="00122AF9"/>
    <w:rsid w:val="00126C6D"/>
    <w:rsid w:val="00126C97"/>
    <w:rsid w:val="001271AD"/>
    <w:rsid w:val="00127BCF"/>
    <w:rsid w:val="00130E0A"/>
    <w:rsid w:val="00131F08"/>
    <w:rsid w:val="0013274D"/>
    <w:rsid w:val="00136B90"/>
    <w:rsid w:val="001404EB"/>
    <w:rsid w:val="00141139"/>
    <w:rsid w:val="001441D6"/>
    <w:rsid w:val="00152047"/>
    <w:rsid w:val="00165737"/>
    <w:rsid w:val="00166BF6"/>
    <w:rsid w:val="00182233"/>
    <w:rsid w:val="001842CA"/>
    <w:rsid w:val="00185B30"/>
    <w:rsid w:val="001900EC"/>
    <w:rsid w:val="001963D4"/>
    <w:rsid w:val="001A306D"/>
    <w:rsid w:val="001A412A"/>
    <w:rsid w:val="001A54D0"/>
    <w:rsid w:val="001A7B1C"/>
    <w:rsid w:val="001B1E6E"/>
    <w:rsid w:val="001C40E2"/>
    <w:rsid w:val="001D1692"/>
    <w:rsid w:val="001D42B7"/>
    <w:rsid w:val="001D4B82"/>
    <w:rsid w:val="001D6CCB"/>
    <w:rsid w:val="001D7F4D"/>
    <w:rsid w:val="001E4BF9"/>
    <w:rsid w:val="001E64F3"/>
    <w:rsid w:val="001F01BC"/>
    <w:rsid w:val="001F0742"/>
    <w:rsid w:val="001F43B0"/>
    <w:rsid w:val="001F480D"/>
    <w:rsid w:val="00203B55"/>
    <w:rsid w:val="002046C2"/>
    <w:rsid w:val="00210781"/>
    <w:rsid w:val="002112E1"/>
    <w:rsid w:val="002169C9"/>
    <w:rsid w:val="00217B5C"/>
    <w:rsid w:val="00224E5D"/>
    <w:rsid w:val="00225313"/>
    <w:rsid w:val="00227FF2"/>
    <w:rsid w:val="002313CF"/>
    <w:rsid w:val="00233ACC"/>
    <w:rsid w:val="002357D4"/>
    <w:rsid w:val="00236BB2"/>
    <w:rsid w:val="00240039"/>
    <w:rsid w:val="00240967"/>
    <w:rsid w:val="0025109A"/>
    <w:rsid w:val="00254E72"/>
    <w:rsid w:val="00257C5B"/>
    <w:rsid w:val="0026209A"/>
    <w:rsid w:val="00292C42"/>
    <w:rsid w:val="002A2DEB"/>
    <w:rsid w:val="002A4106"/>
    <w:rsid w:val="002B08C7"/>
    <w:rsid w:val="002B34BF"/>
    <w:rsid w:val="002B691E"/>
    <w:rsid w:val="002C3CDC"/>
    <w:rsid w:val="002C4F3A"/>
    <w:rsid w:val="002C5AD9"/>
    <w:rsid w:val="002D26DB"/>
    <w:rsid w:val="002D426E"/>
    <w:rsid w:val="002E75D1"/>
    <w:rsid w:val="002F3F7F"/>
    <w:rsid w:val="002F4580"/>
    <w:rsid w:val="00301DC1"/>
    <w:rsid w:val="003039EB"/>
    <w:rsid w:val="00303C0F"/>
    <w:rsid w:val="0030500E"/>
    <w:rsid w:val="00306CDF"/>
    <w:rsid w:val="00313F45"/>
    <w:rsid w:val="00322F91"/>
    <w:rsid w:val="003230CB"/>
    <w:rsid w:val="00323236"/>
    <w:rsid w:val="00325457"/>
    <w:rsid w:val="00333A9B"/>
    <w:rsid w:val="00333C35"/>
    <w:rsid w:val="003344BB"/>
    <w:rsid w:val="00334A01"/>
    <w:rsid w:val="003356F6"/>
    <w:rsid w:val="003411F3"/>
    <w:rsid w:val="00342033"/>
    <w:rsid w:val="0034210A"/>
    <w:rsid w:val="00346C0F"/>
    <w:rsid w:val="00346E87"/>
    <w:rsid w:val="003473E8"/>
    <w:rsid w:val="003509BC"/>
    <w:rsid w:val="003623B8"/>
    <w:rsid w:val="00371FF8"/>
    <w:rsid w:val="00372F01"/>
    <w:rsid w:val="00377BC8"/>
    <w:rsid w:val="00381530"/>
    <w:rsid w:val="003827E9"/>
    <w:rsid w:val="00383883"/>
    <w:rsid w:val="00386B31"/>
    <w:rsid w:val="0038757F"/>
    <w:rsid w:val="003902E8"/>
    <w:rsid w:val="00395046"/>
    <w:rsid w:val="003A12B1"/>
    <w:rsid w:val="003A268F"/>
    <w:rsid w:val="003A69DD"/>
    <w:rsid w:val="003A6EBD"/>
    <w:rsid w:val="003C2208"/>
    <w:rsid w:val="003D0AAE"/>
    <w:rsid w:val="003D0E2A"/>
    <w:rsid w:val="003D5108"/>
    <w:rsid w:val="003E20E3"/>
    <w:rsid w:val="003F0543"/>
    <w:rsid w:val="003F4D0A"/>
    <w:rsid w:val="003F682D"/>
    <w:rsid w:val="0040057D"/>
    <w:rsid w:val="00416F23"/>
    <w:rsid w:val="00421754"/>
    <w:rsid w:val="00421D0E"/>
    <w:rsid w:val="00423482"/>
    <w:rsid w:val="00423C7D"/>
    <w:rsid w:val="00424075"/>
    <w:rsid w:val="00425664"/>
    <w:rsid w:val="004347E4"/>
    <w:rsid w:val="004367BA"/>
    <w:rsid w:val="00437617"/>
    <w:rsid w:val="00440BFB"/>
    <w:rsid w:val="00441ECE"/>
    <w:rsid w:val="004456D9"/>
    <w:rsid w:val="0045028F"/>
    <w:rsid w:val="0045134C"/>
    <w:rsid w:val="004528B2"/>
    <w:rsid w:val="00452E02"/>
    <w:rsid w:val="004552EC"/>
    <w:rsid w:val="00462427"/>
    <w:rsid w:val="00462567"/>
    <w:rsid w:val="0046288E"/>
    <w:rsid w:val="00464FDD"/>
    <w:rsid w:val="00465091"/>
    <w:rsid w:val="00482AD7"/>
    <w:rsid w:val="00486674"/>
    <w:rsid w:val="004901C8"/>
    <w:rsid w:val="0049246E"/>
    <w:rsid w:val="00493D56"/>
    <w:rsid w:val="00496D94"/>
    <w:rsid w:val="00496EF0"/>
    <w:rsid w:val="004A0A29"/>
    <w:rsid w:val="004A0FB5"/>
    <w:rsid w:val="004A2782"/>
    <w:rsid w:val="004A2BCB"/>
    <w:rsid w:val="004A576F"/>
    <w:rsid w:val="004A7484"/>
    <w:rsid w:val="004B0883"/>
    <w:rsid w:val="004B5A77"/>
    <w:rsid w:val="004B7CCE"/>
    <w:rsid w:val="004C2819"/>
    <w:rsid w:val="004D372E"/>
    <w:rsid w:val="004D6066"/>
    <w:rsid w:val="004D6309"/>
    <w:rsid w:val="004D7517"/>
    <w:rsid w:val="004E0A46"/>
    <w:rsid w:val="004E0ACB"/>
    <w:rsid w:val="004E21BC"/>
    <w:rsid w:val="004E3DFD"/>
    <w:rsid w:val="004E50D8"/>
    <w:rsid w:val="004F3AEC"/>
    <w:rsid w:val="004F480D"/>
    <w:rsid w:val="004F5D07"/>
    <w:rsid w:val="004F757C"/>
    <w:rsid w:val="00502762"/>
    <w:rsid w:val="005030CB"/>
    <w:rsid w:val="005032AE"/>
    <w:rsid w:val="005032B5"/>
    <w:rsid w:val="00510BC3"/>
    <w:rsid w:val="00517A00"/>
    <w:rsid w:val="005220E8"/>
    <w:rsid w:val="00537B97"/>
    <w:rsid w:val="00537D07"/>
    <w:rsid w:val="00542CCD"/>
    <w:rsid w:val="00544356"/>
    <w:rsid w:val="0054663D"/>
    <w:rsid w:val="00547208"/>
    <w:rsid w:val="00566578"/>
    <w:rsid w:val="00570C30"/>
    <w:rsid w:val="00573567"/>
    <w:rsid w:val="00575973"/>
    <w:rsid w:val="00577A4C"/>
    <w:rsid w:val="00577AAD"/>
    <w:rsid w:val="005804CF"/>
    <w:rsid w:val="00594DF8"/>
    <w:rsid w:val="00594F58"/>
    <w:rsid w:val="005A14E6"/>
    <w:rsid w:val="005B3B15"/>
    <w:rsid w:val="005B3C46"/>
    <w:rsid w:val="005B7B5C"/>
    <w:rsid w:val="005D4B2C"/>
    <w:rsid w:val="005E098C"/>
    <w:rsid w:val="005E12A3"/>
    <w:rsid w:val="005E148A"/>
    <w:rsid w:val="005F2B5E"/>
    <w:rsid w:val="005F2C8F"/>
    <w:rsid w:val="005F564F"/>
    <w:rsid w:val="005F58D7"/>
    <w:rsid w:val="005F5A25"/>
    <w:rsid w:val="005F714E"/>
    <w:rsid w:val="005F736C"/>
    <w:rsid w:val="0060392A"/>
    <w:rsid w:val="00607CC1"/>
    <w:rsid w:val="00607D9A"/>
    <w:rsid w:val="00620BCB"/>
    <w:rsid w:val="006215C3"/>
    <w:rsid w:val="0062259A"/>
    <w:rsid w:val="006279C3"/>
    <w:rsid w:val="006334A7"/>
    <w:rsid w:val="0063372D"/>
    <w:rsid w:val="00633FBD"/>
    <w:rsid w:val="00636352"/>
    <w:rsid w:val="006404CC"/>
    <w:rsid w:val="00642514"/>
    <w:rsid w:val="00643A3E"/>
    <w:rsid w:val="0064551A"/>
    <w:rsid w:val="006539E3"/>
    <w:rsid w:val="00654B92"/>
    <w:rsid w:val="006567F2"/>
    <w:rsid w:val="00657A7C"/>
    <w:rsid w:val="0066215E"/>
    <w:rsid w:val="00665B19"/>
    <w:rsid w:val="00667A84"/>
    <w:rsid w:val="00670BE3"/>
    <w:rsid w:val="00673384"/>
    <w:rsid w:val="006738EA"/>
    <w:rsid w:val="00676EF3"/>
    <w:rsid w:val="00677EBB"/>
    <w:rsid w:val="006853F2"/>
    <w:rsid w:val="00687617"/>
    <w:rsid w:val="00690535"/>
    <w:rsid w:val="006932CE"/>
    <w:rsid w:val="00695972"/>
    <w:rsid w:val="006A432C"/>
    <w:rsid w:val="006A4FD1"/>
    <w:rsid w:val="006A6475"/>
    <w:rsid w:val="006A769C"/>
    <w:rsid w:val="006B348A"/>
    <w:rsid w:val="006B7D02"/>
    <w:rsid w:val="006C06B8"/>
    <w:rsid w:val="006C110A"/>
    <w:rsid w:val="006C1B83"/>
    <w:rsid w:val="006C3B30"/>
    <w:rsid w:val="006C499D"/>
    <w:rsid w:val="006C5711"/>
    <w:rsid w:val="006D045D"/>
    <w:rsid w:val="006D3F52"/>
    <w:rsid w:val="006D740D"/>
    <w:rsid w:val="006E2C10"/>
    <w:rsid w:val="006E7114"/>
    <w:rsid w:val="006E7D02"/>
    <w:rsid w:val="006E7F2F"/>
    <w:rsid w:val="006F0D5C"/>
    <w:rsid w:val="006F577E"/>
    <w:rsid w:val="006F700E"/>
    <w:rsid w:val="007002D2"/>
    <w:rsid w:val="0070432B"/>
    <w:rsid w:val="00704C27"/>
    <w:rsid w:val="0070748D"/>
    <w:rsid w:val="00713477"/>
    <w:rsid w:val="00716C10"/>
    <w:rsid w:val="00722F30"/>
    <w:rsid w:val="00724CB7"/>
    <w:rsid w:val="007339EF"/>
    <w:rsid w:val="00733C6F"/>
    <w:rsid w:val="00737639"/>
    <w:rsid w:val="0075023C"/>
    <w:rsid w:val="00750D14"/>
    <w:rsid w:val="00753F35"/>
    <w:rsid w:val="007550C5"/>
    <w:rsid w:val="00755C4A"/>
    <w:rsid w:val="007564BC"/>
    <w:rsid w:val="007616B3"/>
    <w:rsid w:val="00762AE8"/>
    <w:rsid w:val="00764D77"/>
    <w:rsid w:val="007672C0"/>
    <w:rsid w:val="007707AA"/>
    <w:rsid w:val="0077089B"/>
    <w:rsid w:val="007712AD"/>
    <w:rsid w:val="0077160B"/>
    <w:rsid w:val="00773891"/>
    <w:rsid w:val="00776487"/>
    <w:rsid w:val="007838C5"/>
    <w:rsid w:val="00791C31"/>
    <w:rsid w:val="00793999"/>
    <w:rsid w:val="00796D1C"/>
    <w:rsid w:val="00797A6E"/>
    <w:rsid w:val="007A4F7D"/>
    <w:rsid w:val="007B15F3"/>
    <w:rsid w:val="007B28CA"/>
    <w:rsid w:val="007B5A1B"/>
    <w:rsid w:val="007C253A"/>
    <w:rsid w:val="007C4BF9"/>
    <w:rsid w:val="007C6EAF"/>
    <w:rsid w:val="007C7178"/>
    <w:rsid w:val="007D400D"/>
    <w:rsid w:val="007D70FD"/>
    <w:rsid w:val="007D75F4"/>
    <w:rsid w:val="007E1421"/>
    <w:rsid w:val="007E5CCE"/>
    <w:rsid w:val="007E762F"/>
    <w:rsid w:val="007E7C69"/>
    <w:rsid w:val="007F5DFD"/>
    <w:rsid w:val="007F67BF"/>
    <w:rsid w:val="0080090D"/>
    <w:rsid w:val="00801A57"/>
    <w:rsid w:val="0081488B"/>
    <w:rsid w:val="00817FBA"/>
    <w:rsid w:val="008203E0"/>
    <w:rsid w:val="008204D0"/>
    <w:rsid w:val="00821872"/>
    <w:rsid w:val="008220A4"/>
    <w:rsid w:val="00835E2B"/>
    <w:rsid w:val="00844972"/>
    <w:rsid w:val="00845C19"/>
    <w:rsid w:val="008464F8"/>
    <w:rsid w:val="00854870"/>
    <w:rsid w:val="00854C1E"/>
    <w:rsid w:val="00855C56"/>
    <w:rsid w:val="00863438"/>
    <w:rsid w:val="008677EF"/>
    <w:rsid w:val="00867F2F"/>
    <w:rsid w:val="00867F54"/>
    <w:rsid w:val="00870486"/>
    <w:rsid w:val="008704C7"/>
    <w:rsid w:val="00874EEC"/>
    <w:rsid w:val="00877FDB"/>
    <w:rsid w:val="00883A37"/>
    <w:rsid w:val="00884946"/>
    <w:rsid w:val="00890FBA"/>
    <w:rsid w:val="00892072"/>
    <w:rsid w:val="00896642"/>
    <w:rsid w:val="00896970"/>
    <w:rsid w:val="00896D3A"/>
    <w:rsid w:val="008A1398"/>
    <w:rsid w:val="008C4AC3"/>
    <w:rsid w:val="008C5711"/>
    <w:rsid w:val="008C6428"/>
    <w:rsid w:val="008D02F9"/>
    <w:rsid w:val="008D15F4"/>
    <w:rsid w:val="008E04E7"/>
    <w:rsid w:val="008F4473"/>
    <w:rsid w:val="008F653B"/>
    <w:rsid w:val="0090778B"/>
    <w:rsid w:val="009125B0"/>
    <w:rsid w:val="009131AE"/>
    <w:rsid w:val="009163D8"/>
    <w:rsid w:val="00917D91"/>
    <w:rsid w:val="00927C65"/>
    <w:rsid w:val="009326E7"/>
    <w:rsid w:val="00936F09"/>
    <w:rsid w:val="00941911"/>
    <w:rsid w:val="009454AF"/>
    <w:rsid w:val="009551B8"/>
    <w:rsid w:val="00960131"/>
    <w:rsid w:val="00961A4F"/>
    <w:rsid w:val="0096413A"/>
    <w:rsid w:val="00966435"/>
    <w:rsid w:val="009725CE"/>
    <w:rsid w:val="0097265A"/>
    <w:rsid w:val="00972F43"/>
    <w:rsid w:val="00977931"/>
    <w:rsid w:val="00980DD8"/>
    <w:rsid w:val="00981752"/>
    <w:rsid w:val="00983B19"/>
    <w:rsid w:val="00987FFD"/>
    <w:rsid w:val="009A0A9A"/>
    <w:rsid w:val="009A3BB4"/>
    <w:rsid w:val="009A5D08"/>
    <w:rsid w:val="009B2663"/>
    <w:rsid w:val="009B2D60"/>
    <w:rsid w:val="009B4524"/>
    <w:rsid w:val="009B64AE"/>
    <w:rsid w:val="009B67B4"/>
    <w:rsid w:val="009C13E0"/>
    <w:rsid w:val="009D552E"/>
    <w:rsid w:val="009D68C3"/>
    <w:rsid w:val="009D76A6"/>
    <w:rsid w:val="009E1859"/>
    <w:rsid w:val="009E2628"/>
    <w:rsid w:val="009E3093"/>
    <w:rsid w:val="009E4A83"/>
    <w:rsid w:val="009E5C2F"/>
    <w:rsid w:val="009F0241"/>
    <w:rsid w:val="009F0AE7"/>
    <w:rsid w:val="009F50E2"/>
    <w:rsid w:val="009F5637"/>
    <w:rsid w:val="009F6486"/>
    <w:rsid w:val="00A01AE7"/>
    <w:rsid w:val="00A02729"/>
    <w:rsid w:val="00A039BB"/>
    <w:rsid w:val="00A052AB"/>
    <w:rsid w:val="00A06B01"/>
    <w:rsid w:val="00A12871"/>
    <w:rsid w:val="00A130A2"/>
    <w:rsid w:val="00A13FE1"/>
    <w:rsid w:val="00A1529F"/>
    <w:rsid w:val="00A26313"/>
    <w:rsid w:val="00A3091F"/>
    <w:rsid w:val="00A32DB0"/>
    <w:rsid w:val="00A36A92"/>
    <w:rsid w:val="00A37FA6"/>
    <w:rsid w:val="00A4125B"/>
    <w:rsid w:val="00A41D86"/>
    <w:rsid w:val="00A4241E"/>
    <w:rsid w:val="00A426E5"/>
    <w:rsid w:val="00A43A05"/>
    <w:rsid w:val="00A45B7E"/>
    <w:rsid w:val="00A522F6"/>
    <w:rsid w:val="00A54CA2"/>
    <w:rsid w:val="00A564C2"/>
    <w:rsid w:val="00A573D0"/>
    <w:rsid w:val="00A619F4"/>
    <w:rsid w:val="00A62015"/>
    <w:rsid w:val="00A6497D"/>
    <w:rsid w:val="00A64E9D"/>
    <w:rsid w:val="00A64F0C"/>
    <w:rsid w:val="00A65252"/>
    <w:rsid w:val="00A65CF0"/>
    <w:rsid w:val="00A66091"/>
    <w:rsid w:val="00A6626B"/>
    <w:rsid w:val="00A71045"/>
    <w:rsid w:val="00A71603"/>
    <w:rsid w:val="00A72DA1"/>
    <w:rsid w:val="00A81D12"/>
    <w:rsid w:val="00A82465"/>
    <w:rsid w:val="00A824B7"/>
    <w:rsid w:val="00A82D72"/>
    <w:rsid w:val="00A85824"/>
    <w:rsid w:val="00A9037D"/>
    <w:rsid w:val="00A90956"/>
    <w:rsid w:val="00A91E1E"/>
    <w:rsid w:val="00A920DB"/>
    <w:rsid w:val="00A92747"/>
    <w:rsid w:val="00A9307F"/>
    <w:rsid w:val="00A94413"/>
    <w:rsid w:val="00A94A36"/>
    <w:rsid w:val="00AA7500"/>
    <w:rsid w:val="00AB0588"/>
    <w:rsid w:val="00AB28BD"/>
    <w:rsid w:val="00AB5B10"/>
    <w:rsid w:val="00AB6104"/>
    <w:rsid w:val="00AC2CCA"/>
    <w:rsid w:val="00AC5885"/>
    <w:rsid w:val="00AC5C01"/>
    <w:rsid w:val="00AD2D7F"/>
    <w:rsid w:val="00AD5BA2"/>
    <w:rsid w:val="00AD6830"/>
    <w:rsid w:val="00AE092F"/>
    <w:rsid w:val="00AE2FE2"/>
    <w:rsid w:val="00AE4E9A"/>
    <w:rsid w:val="00AE690B"/>
    <w:rsid w:val="00AF46E1"/>
    <w:rsid w:val="00AF5AF4"/>
    <w:rsid w:val="00B00213"/>
    <w:rsid w:val="00B06895"/>
    <w:rsid w:val="00B069A4"/>
    <w:rsid w:val="00B077C7"/>
    <w:rsid w:val="00B12531"/>
    <w:rsid w:val="00B2020B"/>
    <w:rsid w:val="00B22D07"/>
    <w:rsid w:val="00B22F0B"/>
    <w:rsid w:val="00B24006"/>
    <w:rsid w:val="00B248CF"/>
    <w:rsid w:val="00B25FE3"/>
    <w:rsid w:val="00B30957"/>
    <w:rsid w:val="00B330B3"/>
    <w:rsid w:val="00B45952"/>
    <w:rsid w:val="00B45D73"/>
    <w:rsid w:val="00B4680B"/>
    <w:rsid w:val="00B472EA"/>
    <w:rsid w:val="00B51276"/>
    <w:rsid w:val="00B56216"/>
    <w:rsid w:val="00B70E89"/>
    <w:rsid w:val="00B74F77"/>
    <w:rsid w:val="00B752A7"/>
    <w:rsid w:val="00B80E9A"/>
    <w:rsid w:val="00B829C2"/>
    <w:rsid w:val="00B83699"/>
    <w:rsid w:val="00B83F17"/>
    <w:rsid w:val="00B9252B"/>
    <w:rsid w:val="00B95C40"/>
    <w:rsid w:val="00B96949"/>
    <w:rsid w:val="00B96DFD"/>
    <w:rsid w:val="00BA0DD3"/>
    <w:rsid w:val="00BA2BFE"/>
    <w:rsid w:val="00BA42B3"/>
    <w:rsid w:val="00BA550A"/>
    <w:rsid w:val="00BA58C9"/>
    <w:rsid w:val="00BA58DB"/>
    <w:rsid w:val="00BA6C61"/>
    <w:rsid w:val="00BB13C2"/>
    <w:rsid w:val="00BB70E9"/>
    <w:rsid w:val="00BB7675"/>
    <w:rsid w:val="00BC2F43"/>
    <w:rsid w:val="00BC411F"/>
    <w:rsid w:val="00BC5D27"/>
    <w:rsid w:val="00BD6948"/>
    <w:rsid w:val="00BE02E2"/>
    <w:rsid w:val="00BE12FC"/>
    <w:rsid w:val="00BE4360"/>
    <w:rsid w:val="00BE5298"/>
    <w:rsid w:val="00BE6B60"/>
    <w:rsid w:val="00BF0708"/>
    <w:rsid w:val="00BF5416"/>
    <w:rsid w:val="00C02CFB"/>
    <w:rsid w:val="00C0520C"/>
    <w:rsid w:val="00C0707A"/>
    <w:rsid w:val="00C1059C"/>
    <w:rsid w:val="00C12963"/>
    <w:rsid w:val="00C13A14"/>
    <w:rsid w:val="00C1434F"/>
    <w:rsid w:val="00C222D1"/>
    <w:rsid w:val="00C23A10"/>
    <w:rsid w:val="00C2587E"/>
    <w:rsid w:val="00C26F39"/>
    <w:rsid w:val="00C327BB"/>
    <w:rsid w:val="00C32EF6"/>
    <w:rsid w:val="00C374B4"/>
    <w:rsid w:val="00C401C3"/>
    <w:rsid w:val="00C41867"/>
    <w:rsid w:val="00C41C9D"/>
    <w:rsid w:val="00C421DD"/>
    <w:rsid w:val="00C45FF3"/>
    <w:rsid w:val="00C522CD"/>
    <w:rsid w:val="00C5268C"/>
    <w:rsid w:val="00C54FF0"/>
    <w:rsid w:val="00C55A9E"/>
    <w:rsid w:val="00C60BEC"/>
    <w:rsid w:val="00C618DC"/>
    <w:rsid w:val="00C713D0"/>
    <w:rsid w:val="00C7385B"/>
    <w:rsid w:val="00C746EB"/>
    <w:rsid w:val="00C77648"/>
    <w:rsid w:val="00C83C56"/>
    <w:rsid w:val="00C96D04"/>
    <w:rsid w:val="00CA2EAC"/>
    <w:rsid w:val="00CA31CC"/>
    <w:rsid w:val="00CA443A"/>
    <w:rsid w:val="00CA60E6"/>
    <w:rsid w:val="00CA7D57"/>
    <w:rsid w:val="00CB5A13"/>
    <w:rsid w:val="00CB756D"/>
    <w:rsid w:val="00CC1536"/>
    <w:rsid w:val="00CC236A"/>
    <w:rsid w:val="00CC584F"/>
    <w:rsid w:val="00CC6E81"/>
    <w:rsid w:val="00CD06EF"/>
    <w:rsid w:val="00CD0E6E"/>
    <w:rsid w:val="00CE4007"/>
    <w:rsid w:val="00CE4BE2"/>
    <w:rsid w:val="00CE767B"/>
    <w:rsid w:val="00CF1274"/>
    <w:rsid w:val="00CF19BC"/>
    <w:rsid w:val="00CF224A"/>
    <w:rsid w:val="00D1142D"/>
    <w:rsid w:val="00D11468"/>
    <w:rsid w:val="00D13FCC"/>
    <w:rsid w:val="00D145CC"/>
    <w:rsid w:val="00D14CA1"/>
    <w:rsid w:val="00D202EA"/>
    <w:rsid w:val="00D20444"/>
    <w:rsid w:val="00D2263A"/>
    <w:rsid w:val="00D23331"/>
    <w:rsid w:val="00D2553C"/>
    <w:rsid w:val="00D2757E"/>
    <w:rsid w:val="00D30C45"/>
    <w:rsid w:val="00D32D66"/>
    <w:rsid w:val="00D34B2F"/>
    <w:rsid w:val="00D34CEC"/>
    <w:rsid w:val="00D356A8"/>
    <w:rsid w:val="00D37426"/>
    <w:rsid w:val="00D41E90"/>
    <w:rsid w:val="00D42A26"/>
    <w:rsid w:val="00D43DA4"/>
    <w:rsid w:val="00D44A6F"/>
    <w:rsid w:val="00D511F2"/>
    <w:rsid w:val="00D5473F"/>
    <w:rsid w:val="00D561C9"/>
    <w:rsid w:val="00D60E00"/>
    <w:rsid w:val="00D6279D"/>
    <w:rsid w:val="00D713DD"/>
    <w:rsid w:val="00D732F7"/>
    <w:rsid w:val="00D74B72"/>
    <w:rsid w:val="00D7628E"/>
    <w:rsid w:val="00D82066"/>
    <w:rsid w:val="00D86216"/>
    <w:rsid w:val="00D8713C"/>
    <w:rsid w:val="00D87A82"/>
    <w:rsid w:val="00D906B5"/>
    <w:rsid w:val="00D913E5"/>
    <w:rsid w:val="00D93321"/>
    <w:rsid w:val="00DA3D8D"/>
    <w:rsid w:val="00DA53DE"/>
    <w:rsid w:val="00DA6957"/>
    <w:rsid w:val="00DB5D20"/>
    <w:rsid w:val="00DC1A70"/>
    <w:rsid w:val="00DD2590"/>
    <w:rsid w:val="00DD31EC"/>
    <w:rsid w:val="00DE0514"/>
    <w:rsid w:val="00DE5CD6"/>
    <w:rsid w:val="00DE75B3"/>
    <w:rsid w:val="00DF3CCB"/>
    <w:rsid w:val="00DF5EB1"/>
    <w:rsid w:val="00DF6E47"/>
    <w:rsid w:val="00E04F67"/>
    <w:rsid w:val="00E06902"/>
    <w:rsid w:val="00E07158"/>
    <w:rsid w:val="00E10F79"/>
    <w:rsid w:val="00E16920"/>
    <w:rsid w:val="00E238AA"/>
    <w:rsid w:val="00E24EC7"/>
    <w:rsid w:val="00E25439"/>
    <w:rsid w:val="00E270E5"/>
    <w:rsid w:val="00E32C12"/>
    <w:rsid w:val="00E41811"/>
    <w:rsid w:val="00E42C37"/>
    <w:rsid w:val="00E505BD"/>
    <w:rsid w:val="00E53932"/>
    <w:rsid w:val="00E641B2"/>
    <w:rsid w:val="00E66110"/>
    <w:rsid w:val="00E721A6"/>
    <w:rsid w:val="00E72285"/>
    <w:rsid w:val="00E73AB9"/>
    <w:rsid w:val="00E73BD4"/>
    <w:rsid w:val="00E82D30"/>
    <w:rsid w:val="00E857FC"/>
    <w:rsid w:val="00EA1FF6"/>
    <w:rsid w:val="00EB2B47"/>
    <w:rsid w:val="00EB42BD"/>
    <w:rsid w:val="00EB52BC"/>
    <w:rsid w:val="00EC333D"/>
    <w:rsid w:val="00EC53CD"/>
    <w:rsid w:val="00EC5422"/>
    <w:rsid w:val="00EC61BE"/>
    <w:rsid w:val="00ED7AB9"/>
    <w:rsid w:val="00EE27A0"/>
    <w:rsid w:val="00EE482F"/>
    <w:rsid w:val="00EE5154"/>
    <w:rsid w:val="00EE5408"/>
    <w:rsid w:val="00EF193A"/>
    <w:rsid w:val="00EF40C1"/>
    <w:rsid w:val="00EF53A5"/>
    <w:rsid w:val="00EF7546"/>
    <w:rsid w:val="00F02D1C"/>
    <w:rsid w:val="00F04B1E"/>
    <w:rsid w:val="00F06379"/>
    <w:rsid w:val="00F11B09"/>
    <w:rsid w:val="00F1306D"/>
    <w:rsid w:val="00F13A56"/>
    <w:rsid w:val="00F162A7"/>
    <w:rsid w:val="00F17910"/>
    <w:rsid w:val="00F233B8"/>
    <w:rsid w:val="00F271F6"/>
    <w:rsid w:val="00F2766D"/>
    <w:rsid w:val="00F31642"/>
    <w:rsid w:val="00F365AC"/>
    <w:rsid w:val="00F3679A"/>
    <w:rsid w:val="00F53C94"/>
    <w:rsid w:val="00F56890"/>
    <w:rsid w:val="00F700BD"/>
    <w:rsid w:val="00F71249"/>
    <w:rsid w:val="00F72CDA"/>
    <w:rsid w:val="00F84896"/>
    <w:rsid w:val="00F877F0"/>
    <w:rsid w:val="00F9332C"/>
    <w:rsid w:val="00F963CB"/>
    <w:rsid w:val="00F97738"/>
    <w:rsid w:val="00FA2C7E"/>
    <w:rsid w:val="00FA5B6D"/>
    <w:rsid w:val="00FB2ED1"/>
    <w:rsid w:val="00FB320C"/>
    <w:rsid w:val="00FB65DA"/>
    <w:rsid w:val="00FB6BA4"/>
    <w:rsid w:val="00FB7A48"/>
    <w:rsid w:val="00FC2F03"/>
    <w:rsid w:val="00FC3739"/>
    <w:rsid w:val="00FC737B"/>
    <w:rsid w:val="00FD25A3"/>
    <w:rsid w:val="00FD507C"/>
    <w:rsid w:val="00FD699F"/>
    <w:rsid w:val="00FE2203"/>
    <w:rsid w:val="00FE3F51"/>
    <w:rsid w:val="00FE5E87"/>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B22D07"/>
    <w:rPr>
      <w:b/>
      <w:bCs/>
      <w:sz w:val="24"/>
    </w:rPr>
  </w:style>
  <w:style w:type="paragraph" w:customStyle="1" w:styleId="ConsPlusNormal">
    <w:name w:val="ConsPlusNormal"/>
    <w:link w:val="ConsPlusNormal0"/>
    <w:qFormat/>
    <w:rsid w:val="00A619F4"/>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619F4"/>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C9E1-9DEA-4D4C-BE94-B3A65DFF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3824</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3</cp:revision>
  <cp:lastPrinted>2021-10-07T10:33:00Z</cp:lastPrinted>
  <dcterms:created xsi:type="dcterms:W3CDTF">2021-10-07T10:35:00Z</dcterms:created>
  <dcterms:modified xsi:type="dcterms:W3CDTF">2021-10-11T07:49:00Z</dcterms:modified>
</cp:coreProperties>
</file>