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82"/>
        <w:gridCol w:w="5281"/>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w:t>
      </w:r>
      <w:r w:rsidR="00D00DC9">
        <w:t>п</w:t>
      </w:r>
      <w:r w:rsidR="00D00DC9" w:rsidRPr="00D00DC9">
        <w:rPr>
          <w:sz w:val="22"/>
          <w:szCs w:val="22"/>
        </w:rPr>
        <w:t xml:space="preserve">о проведению </w:t>
      </w:r>
      <w:proofErr w:type="spellStart"/>
      <w:r w:rsidR="00D00DC9" w:rsidRPr="00D00DC9">
        <w:rPr>
          <w:sz w:val="22"/>
          <w:szCs w:val="22"/>
        </w:rPr>
        <w:t>предповерочной</w:t>
      </w:r>
      <w:proofErr w:type="spellEnd"/>
      <w:r w:rsidR="00D00DC9" w:rsidRPr="00D00DC9">
        <w:rPr>
          <w:sz w:val="22"/>
          <w:szCs w:val="22"/>
        </w:rPr>
        <w:t xml:space="preserve"> подготовки, поверке и корректировке средств измерений (СИ) и средств измерений медицинского назначения (СИМН) и КТС </w:t>
      </w:r>
      <w:r w:rsidR="00153D18" w:rsidRPr="004623FB">
        <w:t xml:space="preserve">(далее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w:t>
      </w:r>
      <w:r w:rsidR="00597589">
        <w:t>ам</w:t>
      </w:r>
      <w:r w:rsidRPr="004B2AED">
        <w:t>:</w:t>
      </w:r>
      <w:r w:rsidR="00597589">
        <w:t xml:space="preserve"> </w:t>
      </w:r>
      <w:r w:rsidR="00847800">
        <w:t>_________________</w:t>
      </w:r>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 xml:space="preserve">и действует до </w:t>
      </w:r>
      <w:r w:rsidR="00D00DC9">
        <w:t>31.12.2024г.</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xml:space="preserve">– </w:t>
      </w:r>
      <w:r w:rsidR="00D00DC9">
        <w:t>31.12.2024г</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232F70">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232F70">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232F70">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232F70">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232F70">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232F70">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232F70">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232F70">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232F70">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 (расчетным периодом по настоящему Договору является - месяц)</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w:t>
      </w:r>
      <w:r w:rsidRPr="004B2AED">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232F70" w:rsidRPr="00B46987" w:rsidRDefault="00232F70" w:rsidP="00232F70">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10.9. </w:t>
      </w:r>
      <w:r w:rsidRPr="00B46987">
        <w:rPr>
          <w:rFonts w:ascii="Times New Roman" w:hAnsi="Times New Roman" w:cs="Times New Roman"/>
          <w:iCs/>
          <w:sz w:val="24"/>
          <w:szCs w:val="24"/>
        </w:rPr>
        <w:t xml:space="preserve">За несоблюдение </w:t>
      </w:r>
      <w:r>
        <w:rPr>
          <w:rFonts w:ascii="Times New Roman" w:hAnsi="Times New Roman" w:cs="Times New Roman"/>
          <w:iCs/>
          <w:sz w:val="24"/>
          <w:szCs w:val="24"/>
        </w:rPr>
        <w:t>Исполнителем</w:t>
      </w:r>
      <w:r w:rsidRPr="00B46987">
        <w:rPr>
          <w:rFonts w:ascii="Times New Roman" w:hAnsi="Times New Roman" w:cs="Times New Roman"/>
          <w:iCs/>
          <w:sz w:val="24"/>
          <w:szCs w:val="24"/>
        </w:rPr>
        <w:t xml:space="preserve"> обязанностей, предусмотренных пунктом </w:t>
      </w:r>
      <w:r>
        <w:rPr>
          <w:rFonts w:ascii="Times New Roman" w:hAnsi="Times New Roman" w:cs="Times New Roman"/>
          <w:iCs/>
          <w:sz w:val="24"/>
          <w:szCs w:val="24"/>
        </w:rPr>
        <w:t>5</w:t>
      </w:r>
      <w:r w:rsidRPr="00B46987">
        <w:rPr>
          <w:rFonts w:ascii="Times New Roman" w:hAnsi="Times New Roman" w:cs="Times New Roman"/>
          <w:iCs/>
          <w:sz w:val="24"/>
          <w:szCs w:val="24"/>
        </w:rPr>
        <w:t>.</w:t>
      </w:r>
      <w:r>
        <w:rPr>
          <w:rFonts w:ascii="Times New Roman" w:hAnsi="Times New Roman" w:cs="Times New Roman"/>
          <w:iCs/>
          <w:sz w:val="24"/>
          <w:szCs w:val="24"/>
        </w:rPr>
        <w:t>4</w:t>
      </w:r>
      <w:r w:rsidRPr="00B46987">
        <w:rPr>
          <w:rFonts w:ascii="Times New Roman" w:hAnsi="Times New Roman" w:cs="Times New Roman"/>
          <w:iCs/>
          <w:sz w:val="24"/>
          <w:szCs w:val="24"/>
        </w:rPr>
        <w:t>.</w:t>
      </w:r>
      <w:r>
        <w:rPr>
          <w:rFonts w:ascii="Times New Roman" w:hAnsi="Times New Roman" w:cs="Times New Roman"/>
          <w:iCs/>
          <w:sz w:val="24"/>
          <w:szCs w:val="24"/>
        </w:rPr>
        <w:t>9</w:t>
      </w:r>
      <w:r w:rsidRPr="00B46987">
        <w:rPr>
          <w:rFonts w:ascii="Times New Roman" w:hAnsi="Times New Roman" w:cs="Times New Roman"/>
          <w:iCs/>
          <w:sz w:val="24"/>
          <w:szCs w:val="24"/>
        </w:rPr>
        <w:t xml:space="preserve">. </w:t>
      </w:r>
      <w:r>
        <w:rPr>
          <w:rFonts w:ascii="Times New Roman" w:hAnsi="Times New Roman" w:cs="Times New Roman"/>
          <w:iCs/>
          <w:sz w:val="24"/>
          <w:szCs w:val="24"/>
        </w:rPr>
        <w:t>Исполнитель</w:t>
      </w:r>
      <w:r w:rsidRPr="00B46987">
        <w:rPr>
          <w:rFonts w:ascii="Times New Roman" w:hAnsi="Times New Roman" w:cs="Times New Roman"/>
          <w:iCs/>
          <w:sz w:val="24"/>
          <w:szCs w:val="24"/>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Pr>
          <w:rFonts w:ascii="Times New Roman" w:hAnsi="Times New Roman" w:cs="Times New Roman"/>
          <w:iCs/>
          <w:sz w:val="24"/>
          <w:szCs w:val="24"/>
        </w:rPr>
        <w:t>Заказчиком</w:t>
      </w:r>
      <w:r w:rsidRPr="00B46987">
        <w:rPr>
          <w:rFonts w:ascii="Times New Roman" w:hAnsi="Times New Roman" w:cs="Times New Roman"/>
          <w:iCs/>
          <w:sz w:val="24"/>
          <w:szCs w:val="24"/>
        </w:rPr>
        <w:t xml:space="preserve">, в том числе в случае предъявления к </w:t>
      </w:r>
      <w:r>
        <w:rPr>
          <w:rFonts w:ascii="Times New Roman" w:hAnsi="Times New Roman" w:cs="Times New Roman"/>
          <w:iCs/>
          <w:sz w:val="24"/>
          <w:szCs w:val="24"/>
        </w:rPr>
        <w:t>Заказчику</w:t>
      </w:r>
      <w:r w:rsidRPr="00B46987">
        <w:rPr>
          <w:rFonts w:ascii="Times New Roman" w:hAnsi="Times New Roman" w:cs="Times New Roman"/>
          <w:iCs/>
          <w:sz w:val="24"/>
          <w:szCs w:val="24"/>
        </w:rPr>
        <w:t xml:space="preserve"> третьими лицами требований в результате несоблюдения </w:t>
      </w:r>
      <w:r>
        <w:rPr>
          <w:rFonts w:ascii="Times New Roman" w:hAnsi="Times New Roman" w:cs="Times New Roman"/>
          <w:iCs/>
          <w:sz w:val="24"/>
          <w:szCs w:val="24"/>
        </w:rPr>
        <w:t>Исполнителем</w:t>
      </w:r>
      <w:r w:rsidRPr="00B46987">
        <w:rPr>
          <w:rFonts w:ascii="Times New Roman" w:hAnsi="Times New Roman" w:cs="Times New Roman"/>
          <w:iCs/>
          <w:sz w:val="24"/>
          <w:szCs w:val="24"/>
        </w:rPr>
        <w:t xml:space="preserve"> указанных обязанностей.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lastRenderedPageBreak/>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7E7731" w:rsidRPr="004B2AED" w:rsidRDefault="007E7731" w:rsidP="002300CB">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15.1.2. Приложение № 2 </w:t>
      </w:r>
      <w:r w:rsidR="00FF03C6">
        <w:rPr>
          <w:rFonts w:ascii="Times New Roman" w:hAnsi="Times New Roman"/>
          <w:sz w:val="24"/>
          <w:szCs w:val="24"/>
        </w:rPr>
        <w:t>– Календарный план-график услуг</w:t>
      </w:r>
      <w:r>
        <w:rPr>
          <w:rFonts w:ascii="Times New Roman" w:hAnsi="Times New Roman"/>
          <w:sz w:val="24"/>
          <w:szCs w:val="24"/>
        </w:rPr>
        <w:t>.</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232F70" w:rsidRDefault="00232F70"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82"/>
        <w:gridCol w:w="5281"/>
      </w:tblGrid>
      <w:tr w:rsidR="00CD5DD3" w:rsidRPr="004B2AED" w:rsidTr="00232F70">
        <w:trPr>
          <w:jc w:val="center"/>
        </w:trPr>
        <w:tc>
          <w:tcPr>
            <w:tcW w:w="5070"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5069"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232F70" w:rsidRDefault="00232F70" w:rsidP="00232F70">
      <w:pPr>
        <w:spacing w:after="0" w:line="240" w:lineRule="auto"/>
        <w:ind w:firstLine="600"/>
        <w:jc w:val="both"/>
        <w:rPr>
          <w:rFonts w:ascii="Times New Roman" w:hAnsi="Times New Roman"/>
          <w:sz w:val="24"/>
          <w:szCs w:val="24"/>
        </w:rPr>
      </w:pPr>
    </w:p>
    <w:p w:rsidR="007E7731" w:rsidRDefault="007E7731" w:rsidP="00232F70">
      <w:pPr>
        <w:spacing w:after="0" w:line="240" w:lineRule="auto"/>
        <w:ind w:firstLine="600"/>
        <w:jc w:val="both"/>
        <w:rPr>
          <w:rFonts w:ascii="Times New Roman" w:hAnsi="Times New Roman"/>
          <w:sz w:val="24"/>
          <w:szCs w:val="24"/>
        </w:rPr>
      </w:pPr>
    </w:p>
    <w:p w:rsidR="007E7731" w:rsidRPr="007E7731" w:rsidRDefault="007E7731" w:rsidP="007E7731">
      <w:pPr>
        <w:spacing w:after="0" w:line="240" w:lineRule="auto"/>
        <w:jc w:val="both"/>
        <w:rPr>
          <w:rFonts w:ascii="Times New Roman" w:hAnsi="Times New Roman"/>
          <w:sz w:val="24"/>
          <w:szCs w:val="24"/>
        </w:rPr>
      </w:pPr>
      <w:r w:rsidRPr="007E7731">
        <w:rPr>
          <w:rFonts w:ascii="Times New Roman" w:hAnsi="Times New Roman"/>
          <w:sz w:val="24"/>
          <w:szCs w:val="24"/>
        </w:rPr>
        <w:t xml:space="preserve">          Наименование услуг: на оказание услуг в 2024 году </w:t>
      </w:r>
      <w:r w:rsidRPr="007E7731">
        <w:rPr>
          <w:rFonts w:ascii="Times New Roman" w:hAnsi="Times New Roman"/>
          <w:bCs/>
          <w:sz w:val="24"/>
          <w:szCs w:val="24"/>
        </w:rPr>
        <w:t xml:space="preserve">по проведению </w:t>
      </w:r>
      <w:proofErr w:type="spellStart"/>
      <w:r w:rsidRPr="007E7731">
        <w:rPr>
          <w:rFonts w:ascii="Times New Roman" w:hAnsi="Times New Roman"/>
          <w:bCs/>
          <w:sz w:val="24"/>
          <w:szCs w:val="24"/>
        </w:rPr>
        <w:t>предповерочной</w:t>
      </w:r>
      <w:proofErr w:type="spellEnd"/>
      <w:r w:rsidRPr="007E7731">
        <w:rPr>
          <w:rFonts w:ascii="Times New Roman" w:hAnsi="Times New Roman"/>
          <w:bCs/>
          <w:sz w:val="24"/>
          <w:szCs w:val="24"/>
        </w:rPr>
        <w:t xml:space="preserve"> подготовке и поверке  средств измерений (далее – СИ)  и средств измерений не медицинского назначения (далее – СИМН)  контроль технического состояния (далее -</w:t>
      </w:r>
      <w:r w:rsidR="002A37BB">
        <w:rPr>
          <w:rFonts w:ascii="Times New Roman" w:hAnsi="Times New Roman"/>
          <w:bCs/>
          <w:sz w:val="24"/>
          <w:szCs w:val="24"/>
        </w:rPr>
        <w:t xml:space="preserve"> </w:t>
      </w:r>
      <w:r w:rsidRPr="007E7731">
        <w:rPr>
          <w:rFonts w:ascii="Times New Roman" w:hAnsi="Times New Roman"/>
          <w:bCs/>
          <w:sz w:val="24"/>
          <w:szCs w:val="24"/>
        </w:rPr>
        <w:t>КТС</w:t>
      </w:r>
      <w:proofErr w:type="gramStart"/>
      <w:r w:rsidRPr="007E7731">
        <w:rPr>
          <w:rFonts w:ascii="Times New Roman" w:hAnsi="Times New Roman"/>
          <w:sz w:val="24"/>
          <w:szCs w:val="24"/>
        </w:rPr>
        <w:t xml:space="preserve"> )</w:t>
      </w:r>
      <w:proofErr w:type="gramEnd"/>
    </w:p>
    <w:p w:rsidR="007E7731" w:rsidRPr="007E7731" w:rsidRDefault="007E7731" w:rsidP="007E7731">
      <w:pPr>
        <w:spacing w:after="0" w:line="240" w:lineRule="auto"/>
        <w:jc w:val="both"/>
        <w:rPr>
          <w:rFonts w:ascii="Times New Roman" w:hAnsi="Times New Roman"/>
          <w:sz w:val="24"/>
          <w:szCs w:val="24"/>
        </w:rPr>
      </w:pPr>
      <w:r w:rsidRPr="007E7731">
        <w:rPr>
          <w:rFonts w:ascii="Times New Roman" w:hAnsi="Times New Roman"/>
          <w:sz w:val="24"/>
          <w:szCs w:val="24"/>
        </w:rPr>
        <w:t xml:space="preserve">          Описание услуг: Проведение</w:t>
      </w:r>
      <w:r w:rsidRPr="007E7731">
        <w:rPr>
          <w:rFonts w:ascii="Times New Roman" w:hAnsi="Times New Roman"/>
          <w:bCs/>
          <w:sz w:val="24"/>
          <w:szCs w:val="24"/>
        </w:rPr>
        <w:t xml:space="preserve"> </w:t>
      </w:r>
      <w:proofErr w:type="spellStart"/>
      <w:r w:rsidRPr="007E7731">
        <w:rPr>
          <w:rFonts w:ascii="Times New Roman" w:hAnsi="Times New Roman"/>
          <w:bCs/>
          <w:sz w:val="24"/>
          <w:szCs w:val="24"/>
        </w:rPr>
        <w:t>предповерочной</w:t>
      </w:r>
      <w:proofErr w:type="spellEnd"/>
      <w:r w:rsidRPr="007E7731">
        <w:rPr>
          <w:rFonts w:ascii="Times New Roman" w:hAnsi="Times New Roman"/>
          <w:bCs/>
          <w:sz w:val="24"/>
          <w:szCs w:val="24"/>
        </w:rPr>
        <w:t xml:space="preserve"> подготовке и поверке  СИ и СИМН  и КТС</w:t>
      </w:r>
      <w:r w:rsidRPr="007E7731">
        <w:rPr>
          <w:rFonts w:ascii="Times New Roman" w:hAnsi="Times New Roman"/>
          <w:sz w:val="24"/>
          <w:szCs w:val="24"/>
        </w:rPr>
        <w:t xml:space="preserve"> согласно утвержденным методикам поверки.</w:t>
      </w:r>
    </w:p>
    <w:p w:rsidR="007E7731" w:rsidRPr="007E7731" w:rsidRDefault="007E7731" w:rsidP="007E7731">
      <w:pPr>
        <w:pStyle w:val="af5"/>
        <w:widowControl/>
        <w:numPr>
          <w:ilvl w:val="0"/>
          <w:numId w:val="6"/>
        </w:numPr>
        <w:autoSpaceDE/>
        <w:autoSpaceDN/>
        <w:adjustRightInd/>
        <w:ind w:left="600" w:hanging="327"/>
        <w:jc w:val="both"/>
        <w:rPr>
          <w:bCs/>
          <w:sz w:val="24"/>
          <w:szCs w:val="24"/>
        </w:rPr>
      </w:pPr>
      <w:r w:rsidRPr="007E7731">
        <w:rPr>
          <w:sz w:val="24"/>
          <w:szCs w:val="24"/>
        </w:rPr>
        <w:t xml:space="preserve">Требования к оказываемым услугам: </w:t>
      </w:r>
    </w:p>
    <w:p w:rsidR="007E7731" w:rsidRPr="007E7731" w:rsidRDefault="007E7731" w:rsidP="007E7731">
      <w:pPr>
        <w:pStyle w:val="af5"/>
        <w:ind w:left="600"/>
        <w:jc w:val="both"/>
        <w:rPr>
          <w:bCs/>
          <w:sz w:val="24"/>
          <w:szCs w:val="24"/>
        </w:rPr>
      </w:pPr>
      <w:r w:rsidRPr="007E7731">
        <w:rPr>
          <w:bCs/>
          <w:sz w:val="24"/>
          <w:szCs w:val="24"/>
        </w:rPr>
        <w:t>1.1. Исполнитель несет полную ответственность за сохранность принятых в поверку СИ в соответствии с действующим законодательством.</w:t>
      </w:r>
    </w:p>
    <w:p w:rsidR="007E7731" w:rsidRPr="007E7731" w:rsidRDefault="007E7731" w:rsidP="007E7731">
      <w:pPr>
        <w:pStyle w:val="af7"/>
        <w:spacing w:after="0"/>
        <w:ind w:left="600"/>
        <w:jc w:val="both"/>
        <w:rPr>
          <w:bCs/>
          <w:sz w:val="24"/>
          <w:szCs w:val="24"/>
        </w:rPr>
      </w:pPr>
      <w:r w:rsidRPr="007E7731">
        <w:rPr>
          <w:bCs/>
          <w:sz w:val="24"/>
          <w:szCs w:val="24"/>
        </w:rPr>
        <w:t>1.2. Качество и безопасность оказываемых услуг должны удовлетворять требованиям действующих нормативных документов.</w:t>
      </w:r>
    </w:p>
    <w:p w:rsidR="007E7731" w:rsidRPr="007E7731" w:rsidRDefault="007E7731" w:rsidP="007E7731">
      <w:pPr>
        <w:pStyle w:val="af7"/>
        <w:spacing w:after="0"/>
        <w:ind w:left="600"/>
        <w:jc w:val="both"/>
        <w:rPr>
          <w:bCs/>
          <w:sz w:val="24"/>
          <w:szCs w:val="24"/>
        </w:rPr>
      </w:pPr>
      <w:r w:rsidRPr="007E7731">
        <w:rPr>
          <w:bCs/>
          <w:sz w:val="24"/>
          <w:szCs w:val="24"/>
        </w:rPr>
        <w:t>1.3. Поверка должна осуществляться в соответствии с требованиями НТД на методы и средства поверки:</w:t>
      </w:r>
    </w:p>
    <w:p w:rsidR="007E7731" w:rsidRPr="007E7731" w:rsidRDefault="007E7731" w:rsidP="007E7731">
      <w:pPr>
        <w:pStyle w:val="af7"/>
        <w:spacing w:after="0"/>
        <w:ind w:left="600" w:firstLine="360"/>
        <w:jc w:val="both"/>
        <w:rPr>
          <w:bCs/>
          <w:sz w:val="24"/>
          <w:szCs w:val="24"/>
        </w:rPr>
      </w:pPr>
      <w:r w:rsidRPr="007E7731">
        <w:rPr>
          <w:bCs/>
          <w:sz w:val="24"/>
          <w:szCs w:val="24"/>
        </w:rPr>
        <w:t>1.3.1. </w:t>
      </w:r>
      <w:proofErr w:type="gramStart"/>
      <w:r w:rsidRPr="007E7731">
        <w:rPr>
          <w:bCs/>
          <w:sz w:val="24"/>
          <w:szCs w:val="24"/>
        </w:rPr>
        <w:t>согласно требований</w:t>
      </w:r>
      <w:proofErr w:type="gramEnd"/>
      <w:r w:rsidRPr="007E7731">
        <w:rPr>
          <w:bCs/>
          <w:sz w:val="24"/>
          <w:szCs w:val="24"/>
        </w:rPr>
        <w:t xml:space="preserve"> ст.13 Федерального закона от 26.06.2008г. №102-ФЗ «Об обеспечении единства измерений»;</w:t>
      </w:r>
    </w:p>
    <w:p w:rsidR="007E7731" w:rsidRPr="007E7731" w:rsidRDefault="007E7731" w:rsidP="007E7731">
      <w:pPr>
        <w:pStyle w:val="af7"/>
        <w:spacing w:after="0"/>
        <w:ind w:left="600" w:firstLine="360"/>
        <w:jc w:val="both"/>
        <w:rPr>
          <w:bCs/>
          <w:sz w:val="24"/>
          <w:szCs w:val="24"/>
        </w:rPr>
      </w:pPr>
      <w:r w:rsidRPr="007E7731">
        <w:rPr>
          <w:bCs/>
          <w:sz w:val="24"/>
          <w:szCs w:val="24"/>
        </w:rPr>
        <w:t>1.3.2. Правилами по метрологии РП 50.2.006-94 «Поверка средств измерений. Организация и порядок проведения»;</w:t>
      </w:r>
    </w:p>
    <w:p w:rsidR="007E7731" w:rsidRPr="007E7731" w:rsidRDefault="007E7731" w:rsidP="007E7731">
      <w:pPr>
        <w:pStyle w:val="af7"/>
        <w:spacing w:after="0"/>
        <w:ind w:left="600" w:firstLine="360"/>
        <w:jc w:val="both"/>
        <w:rPr>
          <w:bCs/>
          <w:sz w:val="24"/>
          <w:szCs w:val="24"/>
        </w:rPr>
      </w:pPr>
      <w:r w:rsidRPr="007E7731">
        <w:rPr>
          <w:bCs/>
          <w:sz w:val="24"/>
          <w:szCs w:val="24"/>
        </w:rPr>
        <w:t>1.3.3. Требованиями РД «Изделия медицинской техники. Требования к надежности. Правила и методы контроля показателей надежности»;</w:t>
      </w:r>
    </w:p>
    <w:p w:rsidR="007E7731" w:rsidRPr="007E7731" w:rsidRDefault="007E7731" w:rsidP="007E7731">
      <w:pPr>
        <w:pStyle w:val="af7"/>
        <w:spacing w:after="0"/>
        <w:ind w:left="600" w:firstLine="360"/>
        <w:jc w:val="both"/>
        <w:rPr>
          <w:bCs/>
          <w:sz w:val="24"/>
          <w:szCs w:val="24"/>
        </w:rPr>
      </w:pPr>
      <w:r w:rsidRPr="007E7731">
        <w:rPr>
          <w:bCs/>
          <w:sz w:val="24"/>
          <w:szCs w:val="24"/>
        </w:rPr>
        <w:t>1.3.4. Межотраслевыми правилами РД 153-34.0-03.150-00;</w:t>
      </w:r>
    </w:p>
    <w:p w:rsidR="007E7731" w:rsidRPr="007E7731" w:rsidRDefault="007E7731" w:rsidP="007E7731">
      <w:pPr>
        <w:pStyle w:val="af7"/>
        <w:spacing w:after="0"/>
        <w:ind w:left="600" w:firstLine="360"/>
        <w:jc w:val="both"/>
        <w:rPr>
          <w:bCs/>
          <w:sz w:val="24"/>
          <w:szCs w:val="24"/>
        </w:rPr>
      </w:pPr>
      <w:r w:rsidRPr="007E7731">
        <w:rPr>
          <w:bCs/>
          <w:sz w:val="24"/>
          <w:szCs w:val="24"/>
        </w:rPr>
        <w:t>1.3.5. ФЗ от 26 июня 2008г. № 102-ФЗ «Об обеспечении единства измерений»;</w:t>
      </w:r>
    </w:p>
    <w:p w:rsidR="007E7731" w:rsidRPr="007E7731" w:rsidRDefault="007E7731" w:rsidP="007E7731">
      <w:pPr>
        <w:pStyle w:val="af7"/>
        <w:spacing w:after="0"/>
        <w:ind w:left="600" w:firstLine="360"/>
        <w:jc w:val="both"/>
        <w:rPr>
          <w:bCs/>
          <w:sz w:val="24"/>
          <w:szCs w:val="24"/>
        </w:rPr>
      </w:pPr>
      <w:r w:rsidRPr="007E7731">
        <w:rPr>
          <w:bCs/>
          <w:sz w:val="24"/>
          <w:szCs w:val="24"/>
        </w:rPr>
        <w:t xml:space="preserve">1.3.6. ГОСТ </w:t>
      </w:r>
      <w:proofErr w:type="gramStart"/>
      <w:r w:rsidRPr="007E7731">
        <w:rPr>
          <w:bCs/>
          <w:sz w:val="24"/>
          <w:szCs w:val="24"/>
        </w:rPr>
        <w:t>Р</w:t>
      </w:r>
      <w:proofErr w:type="gramEnd"/>
      <w:r w:rsidRPr="007E7731">
        <w:rPr>
          <w:bCs/>
          <w:sz w:val="24"/>
          <w:szCs w:val="24"/>
        </w:rPr>
        <w:t xml:space="preserve"> 8.568-97 «ГСИ. Аттестация испытательного оборудования».</w:t>
      </w:r>
    </w:p>
    <w:p w:rsidR="007E7731" w:rsidRPr="007E7731" w:rsidRDefault="007E7731" w:rsidP="007E7731">
      <w:pPr>
        <w:pStyle w:val="af7"/>
        <w:spacing w:after="0"/>
        <w:ind w:left="600" w:firstLine="360"/>
        <w:jc w:val="both"/>
        <w:rPr>
          <w:bCs/>
          <w:sz w:val="24"/>
          <w:szCs w:val="24"/>
        </w:rPr>
      </w:pPr>
      <w:r w:rsidRPr="007E7731">
        <w:rPr>
          <w:bCs/>
          <w:sz w:val="24"/>
          <w:szCs w:val="24"/>
        </w:rPr>
        <w:t xml:space="preserve">1.4. Исполнитель обязан иметь аттестат аккредитации в области поверки средств измерений и лицензию на вид деятельности: техническое обслуживание медицинской техники,   определенных перечнем, указанным в Приложении № 1. « График проведения </w:t>
      </w:r>
      <w:proofErr w:type="spellStart"/>
      <w:r w:rsidRPr="007E7731">
        <w:rPr>
          <w:bCs/>
          <w:sz w:val="24"/>
          <w:szCs w:val="24"/>
        </w:rPr>
        <w:t>предповерочной</w:t>
      </w:r>
      <w:proofErr w:type="spellEnd"/>
      <w:r w:rsidRPr="007E7731">
        <w:rPr>
          <w:bCs/>
          <w:sz w:val="24"/>
          <w:szCs w:val="24"/>
        </w:rPr>
        <w:t xml:space="preserve"> подготовки и поверки средств измерений в 2024 году».</w:t>
      </w:r>
    </w:p>
    <w:p w:rsidR="007E7731" w:rsidRPr="007E7731" w:rsidRDefault="007E7731" w:rsidP="007E7731">
      <w:pPr>
        <w:pStyle w:val="af7"/>
        <w:spacing w:after="0"/>
        <w:ind w:left="600" w:firstLine="360"/>
        <w:jc w:val="both"/>
        <w:rPr>
          <w:bCs/>
          <w:sz w:val="24"/>
          <w:szCs w:val="24"/>
        </w:rPr>
      </w:pPr>
      <w:proofErr w:type="gramStart"/>
      <w:r w:rsidRPr="007E7731">
        <w:rPr>
          <w:bCs/>
          <w:sz w:val="24"/>
          <w:szCs w:val="24"/>
        </w:rPr>
        <w:t xml:space="preserve">Основанием является </w:t>
      </w:r>
      <w:r w:rsidRPr="007E7731">
        <w:rPr>
          <w:sz w:val="24"/>
          <w:szCs w:val="24"/>
        </w:rPr>
        <w:t>Федеральный закон Российской федерации от 26 июня 2008 г. № 102-Ф3 «Об обеспечении единства средств измерений»</w:t>
      </w:r>
      <w:r w:rsidRPr="007E7731">
        <w:rPr>
          <w:bCs/>
          <w:sz w:val="24"/>
          <w:szCs w:val="24"/>
        </w:rPr>
        <w:t>, и Приказом Министерства здравоохранения РФ от 21 февраля 2014 г.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roofErr w:type="gramEnd"/>
      <w:r w:rsidRPr="007E7731">
        <w:rPr>
          <w:bCs/>
          <w:sz w:val="24"/>
          <w:szCs w:val="24"/>
        </w:rPr>
        <w:t xml:space="preserve"> Состав разрешенной деятельности Исполнителя должен обеспечить поверку всего </w:t>
      </w:r>
      <w:hyperlink r:id="rId9" w:tooltip="Медицинское оборудование" w:history="1">
        <w:r w:rsidRPr="007E7731">
          <w:rPr>
            <w:bCs/>
            <w:sz w:val="24"/>
            <w:szCs w:val="24"/>
          </w:rPr>
          <w:t>медицинского оборудования</w:t>
        </w:r>
      </w:hyperlink>
      <w:r w:rsidRPr="007E7731">
        <w:rPr>
          <w:bCs/>
          <w:sz w:val="24"/>
          <w:szCs w:val="24"/>
        </w:rPr>
        <w:t xml:space="preserve"> Заказчика.</w:t>
      </w:r>
    </w:p>
    <w:p w:rsidR="007E7731" w:rsidRPr="007E7731" w:rsidRDefault="007E7731" w:rsidP="007E7731">
      <w:pPr>
        <w:pStyle w:val="af7"/>
        <w:spacing w:after="0"/>
        <w:ind w:left="1077"/>
        <w:jc w:val="both"/>
        <w:rPr>
          <w:bCs/>
          <w:sz w:val="24"/>
          <w:szCs w:val="24"/>
        </w:rPr>
      </w:pPr>
      <w:r w:rsidRPr="007E7731">
        <w:rPr>
          <w:bCs/>
          <w:sz w:val="24"/>
          <w:szCs w:val="24"/>
        </w:rPr>
        <w:t>1.5. Сотрудники Исполнителя обязаны обладать профессиональной квалификацией, соответствующей видам оказываемых услуг, необходимыми профессиональными знаниями и опытом.</w:t>
      </w:r>
    </w:p>
    <w:p w:rsidR="007E7731" w:rsidRPr="007E7731" w:rsidRDefault="007E7731" w:rsidP="007E7731">
      <w:pPr>
        <w:pStyle w:val="af7"/>
        <w:spacing w:after="0"/>
        <w:ind w:left="1077"/>
        <w:jc w:val="both"/>
        <w:rPr>
          <w:bCs/>
          <w:sz w:val="24"/>
          <w:szCs w:val="24"/>
        </w:rPr>
      </w:pPr>
      <w:r w:rsidRPr="007E7731">
        <w:rPr>
          <w:bCs/>
          <w:sz w:val="24"/>
          <w:szCs w:val="24"/>
        </w:rPr>
        <w:t>1.6. Исполнитель обязан выполнять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7E7731" w:rsidRPr="007E7731" w:rsidRDefault="007E7731" w:rsidP="007E7731">
      <w:pPr>
        <w:numPr>
          <w:ilvl w:val="0"/>
          <w:numId w:val="6"/>
        </w:numPr>
        <w:spacing w:after="0" w:line="240" w:lineRule="auto"/>
        <w:jc w:val="both"/>
        <w:rPr>
          <w:rFonts w:ascii="Times New Roman" w:hAnsi="Times New Roman"/>
          <w:sz w:val="24"/>
          <w:szCs w:val="24"/>
        </w:rPr>
      </w:pPr>
      <w:r w:rsidRPr="007E7731">
        <w:rPr>
          <w:rFonts w:ascii="Times New Roman" w:hAnsi="Times New Roman"/>
          <w:sz w:val="24"/>
          <w:szCs w:val="24"/>
        </w:rPr>
        <w:t>Результат оказанных услуг – По факту оказания услуг предоставляется один из ниже перечисленных документов:</w:t>
      </w:r>
    </w:p>
    <w:p w:rsidR="007E7731" w:rsidRPr="007E7731" w:rsidRDefault="007E7731" w:rsidP="007E7731">
      <w:pPr>
        <w:spacing w:after="0" w:line="240" w:lineRule="auto"/>
        <w:ind w:left="708" w:firstLine="708"/>
        <w:jc w:val="both"/>
        <w:rPr>
          <w:rFonts w:ascii="Times New Roman" w:hAnsi="Times New Roman"/>
          <w:sz w:val="24"/>
          <w:szCs w:val="24"/>
        </w:rPr>
      </w:pPr>
      <w:r w:rsidRPr="007E7731">
        <w:rPr>
          <w:rFonts w:ascii="Times New Roman" w:hAnsi="Times New Roman"/>
          <w:sz w:val="24"/>
          <w:szCs w:val="24"/>
        </w:rPr>
        <w:t>- Свидетельство о поверке</w:t>
      </w:r>
    </w:p>
    <w:p w:rsidR="007E7731" w:rsidRPr="007E7731" w:rsidRDefault="007E7731" w:rsidP="007E7731">
      <w:pPr>
        <w:spacing w:after="0" w:line="240" w:lineRule="auto"/>
        <w:ind w:left="708" w:firstLine="708"/>
        <w:jc w:val="both"/>
        <w:rPr>
          <w:rFonts w:ascii="Times New Roman" w:hAnsi="Times New Roman"/>
          <w:sz w:val="24"/>
          <w:szCs w:val="24"/>
        </w:rPr>
      </w:pPr>
      <w:r w:rsidRPr="007E7731">
        <w:rPr>
          <w:rFonts w:ascii="Times New Roman" w:hAnsi="Times New Roman"/>
          <w:sz w:val="24"/>
          <w:szCs w:val="24"/>
        </w:rPr>
        <w:lastRenderedPageBreak/>
        <w:t>- Сертификат о калибровке</w:t>
      </w:r>
    </w:p>
    <w:p w:rsidR="007E7731" w:rsidRPr="007E7731" w:rsidRDefault="007E7731" w:rsidP="007E7731">
      <w:pPr>
        <w:spacing w:after="0" w:line="240" w:lineRule="auto"/>
        <w:jc w:val="both"/>
        <w:rPr>
          <w:rFonts w:ascii="Times New Roman" w:hAnsi="Times New Roman"/>
          <w:sz w:val="24"/>
          <w:szCs w:val="24"/>
        </w:rPr>
      </w:pPr>
      <w:r w:rsidRPr="007E7731">
        <w:rPr>
          <w:rFonts w:ascii="Times New Roman" w:hAnsi="Times New Roman"/>
          <w:sz w:val="24"/>
          <w:szCs w:val="24"/>
        </w:rPr>
        <w:t xml:space="preserve">    3.          Срок оказания услуг – три рабочих дня по поверке анализаторов паров этанола в выдыхаемом воздухе и пять рабочих дней на остальные приборы после забора СИ.</w:t>
      </w:r>
    </w:p>
    <w:p w:rsidR="007E7731" w:rsidRPr="007E7731" w:rsidRDefault="007E7731" w:rsidP="007E7731">
      <w:pPr>
        <w:spacing w:after="0" w:line="240" w:lineRule="auto"/>
        <w:jc w:val="both"/>
        <w:rPr>
          <w:rFonts w:ascii="Times New Roman" w:hAnsi="Times New Roman"/>
          <w:sz w:val="24"/>
          <w:szCs w:val="24"/>
        </w:rPr>
      </w:pPr>
      <w:r w:rsidRPr="007E7731">
        <w:rPr>
          <w:rFonts w:ascii="Times New Roman" w:hAnsi="Times New Roman"/>
          <w:sz w:val="24"/>
          <w:szCs w:val="24"/>
        </w:rPr>
        <w:tab/>
        <w:t xml:space="preserve">Забор СИ на оказание услуг и возврат СИ на место использования в подразделение, адрес которого указан в Графике проведения </w:t>
      </w:r>
      <w:proofErr w:type="spellStart"/>
      <w:r w:rsidRPr="007E7731">
        <w:rPr>
          <w:rFonts w:ascii="Times New Roman" w:hAnsi="Times New Roman"/>
          <w:sz w:val="24"/>
          <w:szCs w:val="24"/>
        </w:rPr>
        <w:t>предповерочной</w:t>
      </w:r>
      <w:proofErr w:type="spellEnd"/>
      <w:r w:rsidRPr="007E7731">
        <w:rPr>
          <w:rFonts w:ascii="Times New Roman" w:hAnsi="Times New Roman"/>
          <w:sz w:val="24"/>
          <w:szCs w:val="24"/>
        </w:rPr>
        <w:t xml:space="preserve"> подготовки и поверки средств измерений в 2024 году, осуществляется силами Исполнителя согласно графику поверки. Анализаторы паров этанола возвращаются по адресу: </w:t>
      </w:r>
      <w:proofErr w:type="gramStart"/>
      <w:r w:rsidRPr="007E7731">
        <w:rPr>
          <w:rFonts w:ascii="Times New Roman" w:hAnsi="Times New Roman"/>
          <w:sz w:val="24"/>
          <w:szCs w:val="24"/>
        </w:rPr>
        <w:t>г</w:t>
      </w:r>
      <w:proofErr w:type="gramEnd"/>
      <w:r w:rsidRPr="007E7731">
        <w:rPr>
          <w:rFonts w:ascii="Times New Roman" w:hAnsi="Times New Roman"/>
          <w:sz w:val="24"/>
          <w:szCs w:val="24"/>
        </w:rPr>
        <w:t xml:space="preserve">. Самара, ул. </w:t>
      </w:r>
      <w:proofErr w:type="spellStart"/>
      <w:r w:rsidRPr="007E7731">
        <w:rPr>
          <w:rFonts w:ascii="Times New Roman" w:hAnsi="Times New Roman"/>
          <w:sz w:val="24"/>
          <w:szCs w:val="24"/>
        </w:rPr>
        <w:t>Агибалова</w:t>
      </w:r>
      <w:proofErr w:type="spellEnd"/>
      <w:r w:rsidRPr="007E7731">
        <w:rPr>
          <w:rFonts w:ascii="Times New Roman" w:hAnsi="Times New Roman"/>
          <w:sz w:val="24"/>
          <w:szCs w:val="24"/>
        </w:rPr>
        <w:t>, 12, кабинет 501.</w:t>
      </w:r>
    </w:p>
    <w:p w:rsidR="007E7731" w:rsidRPr="00B336E2" w:rsidRDefault="007E7731" w:rsidP="007E7731">
      <w:pPr>
        <w:jc w:val="both"/>
        <w:rPr>
          <w:b/>
        </w:rPr>
      </w:pPr>
      <w:r w:rsidRPr="00B336E2">
        <w:t xml:space="preserve">              </w:t>
      </w:r>
    </w:p>
    <w:p w:rsidR="007E7731" w:rsidRDefault="007E7731" w:rsidP="00232F70">
      <w:pPr>
        <w:spacing w:after="0" w:line="240" w:lineRule="auto"/>
        <w:ind w:firstLine="600"/>
        <w:jc w:val="both"/>
        <w:rPr>
          <w:rFonts w:ascii="Times New Roman" w:hAnsi="Times New Roman"/>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1679"/>
        <w:gridCol w:w="1063"/>
        <w:gridCol w:w="1103"/>
        <w:gridCol w:w="1574"/>
        <w:gridCol w:w="931"/>
        <w:gridCol w:w="1626"/>
        <w:gridCol w:w="1214"/>
      </w:tblGrid>
      <w:tr w:rsidR="00CD5DD3" w:rsidRPr="004B2AED" w:rsidTr="002A37BB">
        <w:tc>
          <w:tcPr>
            <w:tcW w:w="777"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71"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8"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7"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2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8"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47"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558"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2A37BB">
        <w:tc>
          <w:tcPr>
            <w:tcW w:w="777"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71"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8"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7"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2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8"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47"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58"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Pr="004B2AED" w:rsidRDefault="00232F70" w:rsidP="00232F70">
      <w:pPr>
        <w:pStyle w:val="a7"/>
        <w:spacing w:after="0" w:line="360" w:lineRule="exact"/>
        <w:ind w:left="4236" w:firstLine="709"/>
        <w:jc w:val="right"/>
        <w:rPr>
          <w:rFonts w:ascii="Times New Roman" w:eastAsia="Calibri" w:hAnsi="Times New Roman"/>
          <w:sz w:val="24"/>
          <w:szCs w:val="24"/>
        </w:rPr>
      </w:pPr>
    </w:p>
    <w:p w:rsidR="00232F70" w:rsidRPr="004B2AED" w:rsidRDefault="00232F70" w:rsidP="00232F70">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232F70" w:rsidRPr="004B2AED" w:rsidRDefault="00232F70" w:rsidP="00232F70">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232F70" w:rsidRPr="004B2AED" w:rsidRDefault="00232F70" w:rsidP="00232F70">
      <w:pPr>
        <w:framePr w:hSpace="180" w:wrap="around" w:vAnchor="text" w:hAnchor="margin" w:x="70" w:y="22"/>
        <w:spacing w:after="0" w:line="360" w:lineRule="exact"/>
        <w:ind w:firstLine="709"/>
        <w:jc w:val="right"/>
        <w:rPr>
          <w:rFonts w:ascii="Times New Roman" w:hAnsi="Times New Roman"/>
          <w:sz w:val="24"/>
          <w:szCs w:val="24"/>
        </w:rPr>
      </w:pPr>
    </w:p>
    <w:p w:rsidR="00232F70" w:rsidRPr="004B2AED" w:rsidRDefault="00232F70" w:rsidP="00232F70">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232F70" w:rsidRPr="004B2AED" w:rsidRDefault="00232F70" w:rsidP="00232F70">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282"/>
        <w:gridCol w:w="5281"/>
      </w:tblGrid>
      <w:tr w:rsidR="00232F70" w:rsidRPr="004B2AED" w:rsidTr="00DE4F68">
        <w:trPr>
          <w:jc w:val="center"/>
        </w:trPr>
        <w:tc>
          <w:tcPr>
            <w:tcW w:w="4698" w:type="dxa"/>
          </w:tcPr>
          <w:p w:rsidR="00232F70" w:rsidRPr="004B2AED" w:rsidRDefault="00232F70" w:rsidP="00DE4F68">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232F70" w:rsidRPr="004B2AED" w:rsidRDefault="00232F70" w:rsidP="00DE4F68">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232F70" w:rsidRPr="004B2AED" w:rsidRDefault="00232F70" w:rsidP="00232F70">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5000" w:type="pct"/>
        <w:tblCellMar>
          <w:left w:w="70" w:type="dxa"/>
          <w:right w:w="70" w:type="dxa"/>
        </w:tblCellMar>
        <w:tblLook w:val="0000"/>
      </w:tblPr>
      <w:tblGrid>
        <w:gridCol w:w="10195"/>
        <w:gridCol w:w="146"/>
        <w:gridCol w:w="146"/>
      </w:tblGrid>
      <w:tr w:rsidR="00232F70" w:rsidRPr="004B2AED" w:rsidTr="00DE4F68">
        <w:tc>
          <w:tcPr>
            <w:tcW w:w="3961" w:type="pct"/>
          </w:tcPr>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tbl>
            <w:tblPr>
              <w:tblW w:w="10472" w:type="dxa"/>
              <w:tblCellMar>
                <w:left w:w="0" w:type="dxa"/>
                <w:right w:w="0" w:type="dxa"/>
              </w:tblCellMar>
              <w:tblLook w:val="0000"/>
            </w:tblPr>
            <w:tblGrid>
              <w:gridCol w:w="561"/>
              <w:gridCol w:w="1849"/>
              <w:gridCol w:w="1499"/>
              <w:gridCol w:w="2071"/>
              <w:gridCol w:w="1232"/>
              <w:gridCol w:w="1668"/>
              <w:gridCol w:w="1541"/>
              <w:gridCol w:w="31"/>
              <w:gridCol w:w="20"/>
            </w:tblGrid>
            <w:tr w:rsidR="00232F70" w:rsidRPr="000A1F49" w:rsidTr="00DE4F68">
              <w:trPr>
                <w:gridAfter w:val="1"/>
                <w:wAfter w:w="20" w:type="dxa"/>
                <w:trHeight w:val="735"/>
              </w:trPr>
              <w:tc>
                <w:tcPr>
                  <w:tcW w:w="10421" w:type="dxa"/>
                  <w:gridSpan w:val="7"/>
                  <w:tcBorders>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jc w:val="center"/>
                    <w:rPr>
                      <w:rFonts w:ascii="Times New Roman" w:hAnsi="Times New Roman"/>
                      <w:sz w:val="24"/>
                      <w:szCs w:val="24"/>
                    </w:rPr>
                  </w:pPr>
                  <w:r w:rsidRPr="000A1F49">
                    <w:rPr>
                      <w:rFonts w:ascii="Times New Roman" w:hAnsi="Times New Roman"/>
                      <w:b/>
                      <w:bCs/>
                      <w:sz w:val="24"/>
                      <w:szCs w:val="24"/>
                    </w:rPr>
                    <w:t xml:space="preserve">График проведения </w:t>
                  </w:r>
                  <w:proofErr w:type="spellStart"/>
                  <w:r w:rsidRPr="000A1F49">
                    <w:rPr>
                      <w:rFonts w:ascii="Times New Roman" w:hAnsi="Times New Roman"/>
                      <w:b/>
                      <w:bCs/>
                      <w:sz w:val="24"/>
                      <w:szCs w:val="24"/>
                    </w:rPr>
                    <w:t>предповерочной</w:t>
                  </w:r>
                  <w:proofErr w:type="spellEnd"/>
                  <w:r w:rsidRPr="000A1F49">
                    <w:rPr>
                      <w:rFonts w:ascii="Times New Roman" w:hAnsi="Times New Roman"/>
                      <w:b/>
                      <w:bCs/>
                      <w:sz w:val="24"/>
                      <w:szCs w:val="24"/>
                    </w:rPr>
                    <w:t xml:space="preserve"> подготовки, поверки и контроля технического состояния (КТС) в 202</w:t>
                  </w:r>
                  <w:r>
                    <w:rPr>
                      <w:rFonts w:ascii="Times New Roman" w:hAnsi="Times New Roman"/>
                      <w:b/>
                      <w:bCs/>
                      <w:sz w:val="24"/>
                      <w:szCs w:val="24"/>
                    </w:rPr>
                    <w:t>3</w:t>
                  </w:r>
                  <w:r w:rsidRPr="000A1F49">
                    <w:rPr>
                      <w:rFonts w:ascii="Times New Roman" w:hAnsi="Times New Roman"/>
                      <w:b/>
                      <w:bCs/>
                      <w:sz w:val="24"/>
                      <w:szCs w:val="24"/>
                    </w:rPr>
                    <w:t xml:space="preserve"> году</w:t>
                  </w:r>
                </w:p>
              </w:tc>
              <w:tc>
                <w:tcPr>
                  <w:tcW w:w="31" w:type="dxa"/>
                </w:tcPr>
                <w:p w:rsidR="00232F70" w:rsidRPr="000A1F49" w:rsidRDefault="00232F70" w:rsidP="00FF03C6">
                  <w:pPr>
                    <w:framePr w:hSpace="180" w:wrap="around" w:vAnchor="text" w:hAnchor="margin" w:x="70" w:y="22"/>
                    <w:snapToGrid w:val="0"/>
                    <w:rPr>
                      <w:rFonts w:ascii="Times New Roman" w:hAnsi="Times New Roman"/>
                      <w:sz w:val="24"/>
                      <w:szCs w:val="24"/>
                    </w:rPr>
                  </w:pPr>
                </w:p>
              </w:tc>
            </w:tr>
            <w:tr w:rsidR="00232F70" w:rsidRPr="000A1F49" w:rsidTr="00DE4F68">
              <w:tblPrEx>
                <w:tblCellMar>
                  <w:left w:w="108" w:type="dxa"/>
                  <w:right w:w="108" w:type="dxa"/>
                </w:tblCellMar>
              </w:tblPrEx>
              <w:trPr>
                <w:trHeight w:val="720"/>
              </w:trPr>
              <w:tc>
                <w:tcPr>
                  <w:tcW w:w="561" w:type="dxa"/>
                  <w:tcBorders>
                    <w:left w:val="single" w:sz="4" w:space="0" w:color="000000"/>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 xml:space="preserve">№ </w:t>
                  </w:r>
                  <w:proofErr w:type="spellStart"/>
                  <w:proofErr w:type="gramStart"/>
                  <w:r w:rsidRPr="000A1F49">
                    <w:rPr>
                      <w:rFonts w:ascii="Times New Roman" w:hAnsi="Times New Roman"/>
                      <w:b/>
                      <w:bCs/>
                      <w:sz w:val="24"/>
                      <w:szCs w:val="24"/>
                    </w:rPr>
                    <w:t>п</w:t>
                  </w:r>
                  <w:proofErr w:type="spellEnd"/>
                  <w:proofErr w:type="gramEnd"/>
                  <w:r w:rsidRPr="000A1F49">
                    <w:rPr>
                      <w:rFonts w:ascii="Times New Roman" w:hAnsi="Times New Roman"/>
                      <w:b/>
                      <w:bCs/>
                      <w:sz w:val="24"/>
                      <w:szCs w:val="24"/>
                    </w:rPr>
                    <w:t>/</w:t>
                  </w:r>
                  <w:proofErr w:type="spellStart"/>
                  <w:r w:rsidRPr="000A1F49">
                    <w:rPr>
                      <w:rFonts w:ascii="Times New Roman" w:hAnsi="Times New Roman"/>
                      <w:b/>
                      <w:bCs/>
                      <w:sz w:val="24"/>
                      <w:szCs w:val="24"/>
                    </w:rPr>
                    <w:t>п</w:t>
                  </w:r>
                  <w:proofErr w:type="spellEnd"/>
                </w:p>
              </w:tc>
              <w:tc>
                <w:tcPr>
                  <w:tcW w:w="1849" w:type="dxa"/>
                  <w:tcBorders>
                    <w:left w:val="single" w:sz="4" w:space="0" w:color="000000"/>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rPr>
                      <w:rFonts w:ascii="Times New Roman" w:hAnsi="Times New Roman"/>
                      <w:b/>
                      <w:bCs/>
                      <w:sz w:val="24"/>
                      <w:szCs w:val="24"/>
                    </w:rPr>
                  </w:pPr>
                  <w:r w:rsidRPr="000A1F49">
                    <w:rPr>
                      <w:rFonts w:ascii="Times New Roman" w:hAnsi="Times New Roman"/>
                      <w:b/>
                      <w:bCs/>
                      <w:sz w:val="24"/>
                      <w:szCs w:val="24"/>
                    </w:rPr>
                    <w:t>Наименование оборудования</w:t>
                  </w:r>
                </w:p>
              </w:tc>
              <w:tc>
                <w:tcPr>
                  <w:tcW w:w="1499" w:type="dxa"/>
                  <w:tcBorders>
                    <w:left w:val="single" w:sz="4" w:space="0" w:color="000000"/>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Количество</w:t>
                  </w:r>
                </w:p>
              </w:tc>
              <w:tc>
                <w:tcPr>
                  <w:tcW w:w="2071" w:type="dxa"/>
                  <w:tcBorders>
                    <w:left w:val="single" w:sz="4" w:space="0" w:color="000000"/>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jc w:val="center"/>
                    <w:rPr>
                      <w:rFonts w:ascii="Times New Roman" w:hAnsi="Times New Roman"/>
                      <w:b/>
                      <w:bCs/>
                      <w:sz w:val="24"/>
                      <w:szCs w:val="24"/>
                    </w:rPr>
                  </w:pPr>
                  <w:proofErr w:type="spellStart"/>
                  <w:r w:rsidRPr="000A1F49">
                    <w:rPr>
                      <w:rFonts w:ascii="Times New Roman" w:hAnsi="Times New Roman"/>
                      <w:b/>
                      <w:bCs/>
                      <w:sz w:val="24"/>
                      <w:szCs w:val="24"/>
                    </w:rPr>
                    <w:t>Межповерочный</w:t>
                  </w:r>
                  <w:proofErr w:type="spellEnd"/>
                  <w:r w:rsidRPr="000A1F49">
                    <w:rPr>
                      <w:rFonts w:ascii="Times New Roman" w:hAnsi="Times New Roman"/>
                      <w:b/>
                      <w:bCs/>
                      <w:sz w:val="24"/>
                      <w:szCs w:val="24"/>
                    </w:rPr>
                    <w:t xml:space="preserve"> интервал</w:t>
                  </w:r>
                </w:p>
              </w:tc>
              <w:tc>
                <w:tcPr>
                  <w:tcW w:w="1232" w:type="dxa"/>
                  <w:tcBorders>
                    <w:left w:val="single" w:sz="4" w:space="0" w:color="000000"/>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Дата текущей поверки</w:t>
                  </w:r>
                </w:p>
              </w:tc>
              <w:tc>
                <w:tcPr>
                  <w:tcW w:w="1668" w:type="dxa"/>
                  <w:tcBorders>
                    <w:left w:val="single" w:sz="4" w:space="0" w:color="000000"/>
                    <w:bottom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Дата планируемой поверки</w:t>
                  </w:r>
                </w:p>
              </w:tc>
              <w:tc>
                <w:tcPr>
                  <w:tcW w:w="1592" w:type="dxa"/>
                  <w:gridSpan w:val="3"/>
                  <w:tcBorders>
                    <w:left w:val="single" w:sz="4" w:space="0" w:color="000000"/>
                    <w:bottom w:val="single" w:sz="4" w:space="0" w:color="000000"/>
                    <w:right w:val="single" w:sz="4" w:space="0" w:color="000000"/>
                  </w:tcBorders>
                  <w:shd w:val="clear" w:color="auto" w:fill="FFFFFF"/>
                  <w:vAlign w:val="center"/>
                </w:tcPr>
                <w:p w:rsidR="00232F70" w:rsidRPr="000A1F49" w:rsidRDefault="00232F70" w:rsidP="00FF03C6">
                  <w:pPr>
                    <w:framePr w:hSpace="180" w:wrap="around" w:vAnchor="text" w:hAnchor="margin" w:x="70" w:y="22"/>
                    <w:spacing w:line="240" w:lineRule="auto"/>
                    <w:rPr>
                      <w:rFonts w:ascii="Times New Roman" w:hAnsi="Times New Roman"/>
                      <w:sz w:val="24"/>
                      <w:szCs w:val="24"/>
                    </w:rPr>
                  </w:pPr>
                  <w:r w:rsidRPr="000A1F49">
                    <w:rPr>
                      <w:rFonts w:ascii="Times New Roman" w:hAnsi="Times New Roman"/>
                      <w:b/>
                      <w:bCs/>
                      <w:sz w:val="24"/>
                      <w:szCs w:val="24"/>
                    </w:rPr>
                    <w:t>Место проведение поверки</w:t>
                  </w:r>
                </w:p>
              </w:tc>
            </w:tr>
          </w:tbl>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Pr="004B2AED" w:rsidRDefault="00232F70" w:rsidP="00DE4F68">
            <w:pPr>
              <w:spacing w:after="0" w:line="360" w:lineRule="exact"/>
              <w:ind w:right="-2120"/>
              <w:jc w:val="both"/>
              <w:rPr>
                <w:rFonts w:ascii="Times New Roman" w:hAnsi="Times New Roman"/>
                <w:sz w:val="24"/>
                <w:szCs w:val="24"/>
              </w:rPr>
            </w:pPr>
          </w:p>
          <w:p w:rsidR="00232F70" w:rsidRPr="004B2AED" w:rsidRDefault="00232F70" w:rsidP="00DE4F68">
            <w:pPr>
              <w:spacing w:after="0" w:line="360" w:lineRule="exact"/>
              <w:ind w:right="-2120" w:firstLine="709"/>
              <w:jc w:val="both"/>
              <w:rPr>
                <w:rFonts w:ascii="Times New Roman" w:hAnsi="Times New Roman"/>
                <w:sz w:val="24"/>
                <w:szCs w:val="24"/>
              </w:rPr>
            </w:pPr>
          </w:p>
          <w:p w:rsidR="00232F70" w:rsidRPr="004B2AED" w:rsidRDefault="00232F70" w:rsidP="00DE4F68">
            <w:pPr>
              <w:spacing w:after="0" w:line="360" w:lineRule="exact"/>
              <w:ind w:right="-2120"/>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232F70" w:rsidRPr="004B2AED" w:rsidRDefault="00232F70" w:rsidP="00DE4F68">
            <w:pPr>
              <w:spacing w:after="0" w:line="360" w:lineRule="exact"/>
              <w:ind w:right="-2120"/>
              <w:jc w:val="both"/>
              <w:rPr>
                <w:rFonts w:ascii="Times New Roman" w:hAnsi="Times New Roman"/>
                <w:sz w:val="24"/>
                <w:szCs w:val="24"/>
              </w:rPr>
            </w:pPr>
          </w:p>
          <w:p w:rsidR="00232F70" w:rsidRPr="004B2AED" w:rsidRDefault="00232F70" w:rsidP="00DE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right="-2120"/>
              <w:rPr>
                <w:rFonts w:ascii="Times New Roman" w:hAnsi="Times New Roman"/>
                <w:sz w:val="24"/>
                <w:szCs w:val="24"/>
              </w:rPr>
            </w:pPr>
            <w:r w:rsidRPr="004B2AED">
              <w:rPr>
                <w:rFonts w:ascii="Times New Roman" w:hAnsi="Times New Roman"/>
                <w:sz w:val="24"/>
                <w:szCs w:val="24"/>
              </w:rPr>
              <w:t xml:space="preserve"> ______________</w:t>
            </w:r>
            <w:r>
              <w:rPr>
                <w:rFonts w:ascii="Times New Roman" w:hAnsi="Times New Roman"/>
                <w:sz w:val="24"/>
                <w:szCs w:val="24"/>
              </w:rPr>
              <w:t xml:space="preserve">/Нечаева Т.Ю./                                   </w:t>
            </w:r>
            <w:r w:rsidRPr="004B2AED">
              <w:rPr>
                <w:rFonts w:ascii="Times New Roman" w:hAnsi="Times New Roman"/>
                <w:sz w:val="24"/>
                <w:szCs w:val="24"/>
              </w:rPr>
              <w:t>_____________</w:t>
            </w:r>
          </w:p>
          <w:p w:rsidR="00232F70" w:rsidRPr="004B2AED" w:rsidRDefault="00232F70" w:rsidP="00DE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right="-2120"/>
              <w:rPr>
                <w:rFonts w:ascii="Times New Roman" w:hAnsi="Times New Roman"/>
                <w:sz w:val="24"/>
                <w:szCs w:val="24"/>
              </w:rPr>
            </w:pPr>
            <w:r w:rsidRPr="004B2AED">
              <w:rPr>
                <w:rFonts w:ascii="Times New Roman" w:hAnsi="Times New Roman"/>
                <w:sz w:val="24"/>
                <w:szCs w:val="24"/>
              </w:rPr>
              <w:t xml:space="preserve">     (подпись)                       </w:t>
            </w:r>
            <w:r>
              <w:rPr>
                <w:rFonts w:ascii="Times New Roman" w:hAnsi="Times New Roman"/>
                <w:sz w:val="24"/>
                <w:szCs w:val="24"/>
              </w:rPr>
              <w:t xml:space="preserve">                              </w:t>
            </w:r>
            <w:r w:rsidRPr="004B2AED">
              <w:rPr>
                <w:rFonts w:ascii="Times New Roman" w:hAnsi="Times New Roman"/>
                <w:sz w:val="24"/>
                <w:szCs w:val="24"/>
              </w:rPr>
              <w:t xml:space="preserve">                    (подпись)</w:t>
            </w:r>
          </w:p>
          <w:p w:rsidR="00232F70" w:rsidRPr="004B2AED" w:rsidRDefault="00232F70" w:rsidP="00DE4F68">
            <w:pPr>
              <w:spacing w:after="0" w:line="360" w:lineRule="exact"/>
              <w:ind w:right="-2120" w:firstLine="709"/>
              <w:jc w:val="both"/>
              <w:rPr>
                <w:rFonts w:ascii="Times New Roman" w:hAnsi="Times New Roman"/>
                <w:b/>
                <w:bCs/>
                <w:sz w:val="24"/>
                <w:szCs w:val="24"/>
              </w:rPr>
            </w:pPr>
          </w:p>
          <w:p w:rsidR="00232F70" w:rsidRPr="004B2AED" w:rsidRDefault="00232F70" w:rsidP="00DE4F68">
            <w:pPr>
              <w:tabs>
                <w:tab w:val="left" w:pos="1195"/>
              </w:tabs>
              <w:spacing w:after="0" w:line="360" w:lineRule="exact"/>
              <w:ind w:right="-2120" w:firstLine="709"/>
              <w:jc w:val="both"/>
              <w:rPr>
                <w:rFonts w:ascii="Times New Roman" w:hAnsi="Times New Roman"/>
                <w:b/>
                <w:bCs/>
                <w:sz w:val="24"/>
                <w:szCs w:val="24"/>
              </w:rPr>
            </w:pPr>
          </w:p>
        </w:tc>
        <w:tc>
          <w:tcPr>
            <w:tcW w:w="256" w:type="pct"/>
          </w:tcPr>
          <w:p w:rsidR="00232F70" w:rsidRPr="004B2AED" w:rsidRDefault="00232F70" w:rsidP="00DE4F68">
            <w:pPr>
              <w:spacing w:after="0" w:line="360" w:lineRule="exact"/>
              <w:ind w:right="-2120" w:firstLine="709"/>
              <w:jc w:val="both"/>
              <w:rPr>
                <w:rFonts w:ascii="Times New Roman" w:hAnsi="Times New Roman"/>
                <w:b/>
                <w:bCs/>
                <w:sz w:val="24"/>
                <w:szCs w:val="24"/>
              </w:rPr>
            </w:pPr>
          </w:p>
        </w:tc>
        <w:tc>
          <w:tcPr>
            <w:tcW w:w="783" w:type="pct"/>
          </w:tcPr>
          <w:p w:rsidR="00232F70" w:rsidRPr="004B2AED" w:rsidRDefault="00232F70" w:rsidP="00DE4F68">
            <w:pPr>
              <w:spacing w:after="0" w:line="360" w:lineRule="exact"/>
              <w:ind w:firstLine="709"/>
              <w:jc w:val="both"/>
              <w:rPr>
                <w:rFonts w:ascii="Times New Roman" w:hAnsi="Times New Roman"/>
                <w:b/>
                <w:bCs/>
                <w:sz w:val="24"/>
                <w:szCs w:val="24"/>
              </w:rPr>
            </w:pPr>
          </w:p>
        </w:tc>
      </w:tr>
    </w:tbl>
    <w:p w:rsidR="00232F70" w:rsidRDefault="00232F70" w:rsidP="00232F70">
      <w:pPr>
        <w:spacing w:after="0" w:line="360" w:lineRule="exact"/>
        <w:ind w:right="-2120"/>
        <w:jc w:val="both"/>
      </w:pPr>
    </w:p>
    <w:sectPr w:rsidR="00232F70" w:rsidSect="007E7731">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06" w:rsidRDefault="00DC1806" w:rsidP="00CD5DD3">
      <w:pPr>
        <w:spacing w:after="0" w:line="240" w:lineRule="auto"/>
      </w:pPr>
      <w:r>
        <w:separator/>
      </w:r>
    </w:p>
  </w:endnote>
  <w:endnote w:type="continuationSeparator" w:id="0">
    <w:p w:rsidR="00DC1806" w:rsidRDefault="00DC1806"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06" w:rsidRDefault="00DC1806" w:rsidP="00CD5DD3">
      <w:pPr>
        <w:spacing w:after="0" w:line="240" w:lineRule="auto"/>
      </w:pPr>
      <w:r>
        <w:separator/>
      </w:r>
    </w:p>
  </w:footnote>
  <w:footnote w:type="continuationSeparator" w:id="0">
    <w:p w:rsidR="00DC1806" w:rsidRDefault="00DC1806"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555FFF"/>
    <w:multiLevelType w:val="hybridMultilevel"/>
    <w:tmpl w:val="769842D2"/>
    <w:lvl w:ilvl="0" w:tplc="FEF4A0C4">
      <w:start w:val="1"/>
      <w:numFmt w:val="decimal"/>
      <w:lvlText w:val="%1."/>
      <w:lvlJc w:val="left"/>
      <w:pPr>
        <w:ind w:left="502"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5">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0B7B43"/>
    <w:rsid w:val="00117284"/>
    <w:rsid w:val="00123C6E"/>
    <w:rsid w:val="00153D18"/>
    <w:rsid w:val="00155F13"/>
    <w:rsid w:val="00161F3B"/>
    <w:rsid w:val="001930A3"/>
    <w:rsid w:val="001E4A2D"/>
    <w:rsid w:val="00226B05"/>
    <w:rsid w:val="002300CB"/>
    <w:rsid w:val="00232F70"/>
    <w:rsid w:val="00242769"/>
    <w:rsid w:val="00276BDC"/>
    <w:rsid w:val="002A37BB"/>
    <w:rsid w:val="002C2F66"/>
    <w:rsid w:val="00314F02"/>
    <w:rsid w:val="00355521"/>
    <w:rsid w:val="00362103"/>
    <w:rsid w:val="003A0D41"/>
    <w:rsid w:val="003B1405"/>
    <w:rsid w:val="00493F68"/>
    <w:rsid w:val="004F1649"/>
    <w:rsid w:val="004F37AD"/>
    <w:rsid w:val="0055647C"/>
    <w:rsid w:val="00565F19"/>
    <w:rsid w:val="00570931"/>
    <w:rsid w:val="005818B3"/>
    <w:rsid w:val="00597589"/>
    <w:rsid w:val="005A3A47"/>
    <w:rsid w:val="005B551C"/>
    <w:rsid w:val="006411C0"/>
    <w:rsid w:val="0069577A"/>
    <w:rsid w:val="006E7900"/>
    <w:rsid w:val="00704E36"/>
    <w:rsid w:val="007A190B"/>
    <w:rsid w:val="007E7731"/>
    <w:rsid w:val="007F07CA"/>
    <w:rsid w:val="00847800"/>
    <w:rsid w:val="008F37A4"/>
    <w:rsid w:val="008F7BA0"/>
    <w:rsid w:val="0093400D"/>
    <w:rsid w:val="009840B8"/>
    <w:rsid w:val="009C3BF8"/>
    <w:rsid w:val="00A2386E"/>
    <w:rsid w:val="00A32A14"/>
    <w:rsid w:val="00A57AB7"/>
    <w:rsid w:val="00A72AFD"/>
    <w:rsid w:val="00A85D90"/>
    <w:rsid w:val="00AE0F13"/>
    <w:rsid w:val="00B254C2"/>
    <w:rsid w:val="00B45FC2"/>
    <w:rsid w:val="00BE0BB5"/>
    <w:rsid w:val="00C04CE0"/>
    <w:rsid w:val="00C073BF"/>
    <w:rsid w:val="00C23CBA"/>
    <w:rsid w:val="00C93170"/>
    <w:rsid w:val="00CD5DD3"/>
    <w:rsid w:val="00CF3F33"/>
    <w:rsid w:val="00D00DC9"/>
    <w:rsid w:val="00D05383"/>
    <w:rsid w:val="00D24E15"/>
    <w:rsid w:val="00D35542"/>
    <w:rsid w:val="00D40A7A"/>
    <w:rsid w:val="00D96F47"/>
    <w:rsid w:val="00DA5EBE"/>
    <w:rsid w:val="00DC1806"/>
    <w:rsid w:val="00DD0F7E"/>
    <w:rsid w:val="00DF5B36"/>
    <w:rsid w:val="00E16F88"/>
    <w:rsid w:val="00E17282"/>
    <w:rsid w:val="00E64A8E"/>
    <w:rsid w:val="00EA4EA9"/>
    <w:rsid w:val="00F46AAB"/>
    <w:rsid w:val="00F90A87"/>
    <w:rsid w:val="00F94FC9"/>
    <w:rsid w:val="00FB3F07"/>
    <w:rsid w:val="00FF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 w:type="paragraph" w:styleId="af7">
    <w:name w:val="Normal (Web)"/>
    <w:basedOn w:val="a"/>
    <w:rsid w:val="007E7731"/>
    <w:pPr>
      <w:spacing w:after="150" w:line="240" w:lineRule="auto"/>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meditcinskoe_oborud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4890</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2024-02-22T06:17:00Z</dcterms:created>
  <dcterms:modified xsi:type="dcterms:W3CDTF">2024-02-22T06:26:00Z</dcterms:modified>
</cp:coreProperties>
</file>