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B" w:rsidRDefault="00454E1B"/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>
        <w:rPr>
          <w:iCs/>
        </w:rPr>
        <w:t xml:space="preserve">Доверенности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по______________________________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Pr="00A064B7">
        <w:t xml:space="preserve">с </w:t>
      </w:r>
      <w:r>
        <w:t>ноябрь 2023г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>
        <w:t>- апрель 2024г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3D5487"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3D5487">
        <w:t>5</w:t>
      </w:r>
      <w:r w:rsidRPr="004B2AED">
        <w:t xml:space="preserve"> настоящего Договора, в следующем порядке:</w:t>
      </w:r>
    </w:p>
    <w:p w:rsidR="001223B6" w:rsidRDefault="00703609" w:rsidP="00703609">
      <w:pPr>
        <w:pStyle w:val="a5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t xml:space="preserve">3.2.1. </w:t>
      </w:r>
      <w:r w:rsidR="001223B6" w:rsidRPr="001223B6">
        <w:t>В течение 60 (шестидесяти) календарных дней с даты подписания Сторонами акта сдачи-приемки выполненных работ/оказанных услуг за расчетный период, при условии получения Заказчиком оригинального комплекта документов, подписанного с</w:t>
      </w:r>
      <w:r w:rsidR="001223B6">
        <w:t>о стороны Исполнителя</w:t>
      </w:r>
      <w:r w:rsidR="001223B6" w:rsidRPr="001223B6">
        <w:t xml:space="preserve">: счета на оплату, актов сдачи-приемки оказанных Услуг (2 экз.), </w:t>
      </w:r>
      <w:proofErr w:type="spellStart"/>
      <w:proofErr w:type="gramStart"/>
      <w:r w:rsidR="001223B6" w:rsidRPr="001223B6">
        <w:t>счет-фактуры</w:t>
      </w:r>
      <w:proofErr w:type="spellEnd"/>
      <w:proofErr w:type="gramEnd"/>
      <w:r w:rsidR="001223B6" w:rsidRPr="001223B6">
        <w:t>. Стоимость Услуг  за расчетный период составляет</w:t>
      </w:r>
      <w:proofErr w:type="gramStart"/>
      <w:r w:rsidR="001223B6">
        <w:t xml:space="preserve"> </w:t>
      </w:r>
      <w:r w:rsidR="001223B6" w:rsidRPr="001223B6">
        <w:t>:</w:t>
      </w:r>
      <w:proofErr w:type="gramEnd"/>
      <w:r w:rsidR="001223B6" w:rsidRPr="001223B6">
        <w:t>____________________.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4B2AED"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5D2DD4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i/>
          <w:sz w:val="24"/>
          <w:szCs w:val="24"/>
          <w:u w:val="single"/>
        </w:rPr>
      </w:pPr>
      <w:r w:rsidRPr="005D2DD4">
        <w:rPr>
          <w:rFonts w:ascii="Times New Roman" w:hAnsi="Times New Roman"/>
          <w:sz w:val="24"/>
          <w:szCs w:val="24"/>
          <w:u w:val="single"/>
        </w:rPr>
        <w:t xml:space="preserve">Требования к </w:t>
      </w:r>
      <w:r w:rsidRPr="005D2DD4">
        <w:rPr>
          <w:rFonts w:ascii="Times New Roman" w:hAnsi="Times New Roman"/>
          <w:i/>
          <w:sz w:val="24"/>
          <w:szCs w:val="24"/>
          <w:u w:val="single"/>
        </w:rPr>
        <w:t>оказанию Услуг</w:t>
      </w: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575615">
        <w:trPr>
          <w:jc w:val="center"/>
        </w:trPr>
        <w:tc>
          <w:tcPr>
            <w:tcW w:w="492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926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575615" w:rsidRDefault="00FD507B" w:rsidP="0057561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sz w:val="24"/>
          <w:szCs w:val="24"/>
        </w:rPr>
        <w:t xml:space="preserve">Наименование Услуг: </w:t>
      </w:r>
      <w:proofErr w:type="gramStart"/>
      <w:r w:rsidR="00575615" w:rsidRPr="00575615">
        <w:rPr>
          <w:rFonts w:ascii="Times New Roman" w:hAnsi="Times New Roman"/>
          <w:sz w:val="24"/>
          <w:szCs w:val="24"/>
        </w:rPr>
        <w:t xml:space="preserve">Услуги по интеграции из системы 1С Бухгалтерия 2.0 в программный комплекса 1С БП 3.0 </w:t>
      </w:r>
      <w:proofErr w:type="spellStart"/>
      <w:r w:rsidR="00575615" w:rsidRPr="00575615">
        <w:rPr>
          <w:rFonts w:ascii="Times New Roman" w:hAnsi="Times New Roman"/>
          <w:sz w:val="24"/>
          <w:szCs w:val="24"/>
        </w:rPr>
        <w:t>Фреш</w:t>
      </w:r>
      <w:proofErr w:type="spellEnd"/>
      <w:r w:rsidR="00575615" w:rsidRPr="00575615">
        <w:rPr>
          <w:rFonts w:ascii="Times New Roman" w:hAnsi="Times New Roman"/>
          <w:sz w:val="24"/>
          <w:szCs w:val="24"/>
        </w:rPr>
        <w:t xml:space="preserve"> для в ЧУЗ «КБ «</w:t>
      </w:r>
      <w:proofErr w:type="spellStart"/>
      <w:r w:rsidR="00575615" w:rsidRPr="00575615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575615" w:rsidRPr="00575615">
        <w:rPr>
          <w:rFonts w:ascii="Times New Roman" w:hAnsi="Times New Roman"/>
          <w:sz w:val="24"/>
          <w:szCs w:val="24"/>
        </w:rPr>
        <w:t>» г. Самара»</w:t>
      </w:r>
      <w:proofErr w:type="gramEnd"/>
    </w:p>
    <w:p w:rsidR="00FD507B" w:rsidRDefault="00575615" w:rsidP="0057561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D507B" w:rsidRPr="000A33B3">
        <w:rPr>
          <w:rFonts w:ascii="Times New Roman" w:hAnsi="Times New Roman"/>
          <w:sz w:val="24"/>
          <w:szCs w:val="24"/>
        </w:rPr>
        <w:t>. Требования к Услугам</w:t>
      </w:r>
      <w:r w:rsidR="00FD507B">
        <w:rPr>
          <w:rFonts w:ascii="Times New Roman" w:hAnsi="Times New Roman"/>
          <w:sz w:val="24"/>
          <w:szCs w:val="24"/>
        </w:rPr>
        <w:t>:</w:t>
      </w:r>
      <w:r w:rsidR="00FD507B" w:rsidRPr="000A33B3">
        <w:rPr>
          <w:rFonts w:ascii="Times New Roman" w:hAnsi="Times New Roman"/>
          <w:sz w:val="24"/>
          <w:szCs w:val="24"/>
        </w:rPr>
        <w:t xml:space="preserve"> </w:t>
      </w:r>
    </w:p>
    <w:p w:rsidR="00575615" w:rsidRPr="00575615" w:rsidRDefault="00575615" w:rsidP="00575615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Условные обозначения:</w:t>
      </w:r>
    </w:p>
    <w:p w:rsidR="00575615" w:rsidRPr="00575615" w:rsidRDefault="00575615" w:rsidP="0057561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1С БП 2.0 Текущая учетная бухгалтерская система на базе 1С Бухгалтерия предприятия 8 редакции 2.0.</w:t>
      </w:r>
    </w:p>
    <w:p w:rsidR="00575615" w:rsidRPr="00575615" w:rsidRDefault="00575615" w:rsidP="0057561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1С БП 3.0 </w:t>
      </w:r>
      <w:proofErr w:type="spellStart"/>
      <w:r w:rsidRPr="00575615">
        <w:rPr>
          <w:rFonts w:ascii="Times New Roman" w:hAnsi="Times New Roman"/>
          <w:sz w:val="24"/>
          <w:szCs w:val="24"/>
        </w:rPr>
        <w:t>Фреш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- конфигурация 1С Бухгалтерия предприятия 8 редакция 3.0. Настраивается для использования как система бухгалтерского учета для ЧУЗ «КБ «</w:t>
      </w:r>
      <w:proofErr w:type="spellStart"/>
      <w:r w:rsidRPr="00575615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Pr="00575615">
        <w:rPr>
          <w:rFonts w:ascii="Times New Roman" w:hAnsi="Times New Roman"/>
          <w:sz w:val="24"/>
          <w:szCs w:val="24"/>
        </w:rPr>
        <w:t>» г. Самара».</w:t>
      </w:r>
    </w:p>
    <w:p w:rsidR="00575615" w:rsidRPr="00575615" w:rsidRDefault="00575615" w:rsidP="0057561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Web-сервис - программное обеспечение, которое предоставляет функциональность обмена данными через Интернет по определенной схеме, заложенной разработчиком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сервиса. Web-сервисы обычно используют протокол HTTP для обмена сообщениями между клиентом и сервером.</w:t>
      </w:r>
    </w:p>
    <w:p w:rsidR="00575615" w:rsidRPr="00575615" w:rsidRDefault="00575615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2.</w:t>
      </w:r>
      <w:r w:rsidRPr="00575615">
        <w:rPr>
          <w:rFonts w:ascii="Times New Roman" w:hAnsi="Times New Roman"/>
          <w:sz w:val="24"/>
          <w:szCs w:val="24"/>
        </w:rPr>
        <w:tab/>
        <w:t xml:space="preserve"> Введение: описание проекта, его цели и контекста использования.</w:t>
      </w:r>
      <w:bookmarkStart w:id="13" w:name="_GoBack"/>
      <w:bookmarkEnd w:id="13"/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Целью проекта является выгрузка документов из 1С БП 2.0 в 1С БП </w:t>
      </w:r>
      <w:proofErr w:type="spellStart"/>
      <w:r w:rsidRPr="00575615">
        <w:rPr>
          <w:rFonts w:ascii="Times New Roman" w:hAnsi="Times New Roman"/>
          <w:sz w:val="24"/>
          <w:szCs w:val="24"/>
        </w:rPr>
        <w:t>Фреш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без участия пользователей конфигураций, т.е. в автоматическом режиме.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Документы подлежащий выгрузке определяет </w:t>
      </w:r>
      <w:proofErr w:type="gramStart"/>
      <w:r w:rsidRPr="00575615">
        <w:rPr>
          <w:rFonts w:ascii="Times New Roman" w:hAnsi="Times New Roman"/>
          <w:sz w:val="24"/>
          <w:szCs w:val="24"/>
        </w:rPr>
        <w:t>Заказчик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и Заказчик имеет право расширять список выгружаемых документов, а Исполнитель берет на себя обязательство дорабатывать механизмы выгрузки документов в период действия договора согласно функциональным возможностям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Предварительный набор документов для выгрузки  включает документы: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Закупки медикаментов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Передача медикаментов в лечебные отделения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- Списания медикаментов по историям болезней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- Списания расходных материалов клинико-диагностической лаборатории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Реализация медикаментов в розничной аптеке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Закупка продуктов для пищеблока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- Списание продуктов по рецептурам для приготовления блюд диетического питания 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5615">
        <w:rPr>
          <w:rFonts w:ascii="Times New Roman" w:hAnsi="Times New Roman"/>
          <w:sz w:val="24"/>
          <w:szCs w:val="24"/>
        </w:rPr>
        <w:t>Списаиник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питания отделения Гемодиализа 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- Списание </w:t>
      </w:r>
      <w:proofErr w:type="gramStart"/>
      <w:r w:rsidRPr="00575615">
        <w:rPr>
          <w:rFonts w:ascii="Times New Roman" w:hAnsi="Times New Roman"/>
          <w:sz w:val="24"/>
          <w:szCs w:val="24"/>
        </w:rPr>
        <w:t>спец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продуктов сотрудникам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Предварительный набор загружаемых элементов в справочники: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Контрагенты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Договоры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Номенклатура, вид номенклатуры и сопутствующие характеристики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Единицы измерения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Отделения (в случае отсутствия предварительной загрузки и сопоставления)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Места хранения (в случае отсутствия предварительной загрузки и сопоставления)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Статьи затрат (в случае отсутствия предварительной загрузки и сопоставления)</w:t>
      </w:r>
    </w:p>
    <w:p w:rsidR="00575615" w:rsidRPr="00575615" w:rsidRDefault="00575615" w:rsidP="00575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- Шаблоны проводок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lastRenderedPageBreak/>
        <w:t xml:space="preserve">Разработать таблицу соответствия плана счетов 1С БП 2.0. и 1С БП </w:t>
      </w:r>
      <w:proofErr w:type="spellStart"/>
      <w:r w:rsidRPr="00575615">
        <w:rPr>
          <w:rFonts w:ascii="Times New Roman" w:hAnsi="Times New Roman"/>
          <w:sz w:val="24"/>
          <w:szCs w:val="24"/>
        </w:rPr>
        <w:t>Фреш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. По данным таблицы соответствия определять данные субсчетов и типов аналитики для отправки данных в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сервис.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Необходимо предусмотреть перезапись ранее загруженных документов, в которых были произведены изменения на стороне 1С БП 2.0. Для реализации перезаписи выгруженных документов добавить реквизит со значением статуса “выгружен”, “модифицирован”. Новые статусы будут определены в процессе разработки. Записи в значения статусов будут происходить в зависимости от ответов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Обращение к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сервису будет производиться в фоновом режиме, но на этапе  разработке и внедрения Заказчик будет контролировать процесс обмена данными. В случае возникновения вопросов </w:t>
      </w:r>
      <w:proofErr w:type="gramStart"/>
      <w:r w:rsidRPr="00575615">
        <w:rPr>
          <w:rFonts w:ascii="Times New Roman" w:hAnsi="Times New Roman"/>
          <w:sz w:val="24"/>
          <w:szCs w:val="24"/>
        </w:rPr>
        <w:t>о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615">
        <w:rPr>
          <w:rFonts w:ascii="Times New Roman" w:hAnsi="Times New Roman"/>
          <w:sz w:val="24"/>
          <w:szCs w:val="24"/>
        </w:rPr>
        <w:t>некорректной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отражении данных на стороне 1С БП </w:t>
      </w:r>
      <w:proofErr w:type="spellStart"/>
      <w:r w:rsidRPr="00575615">
        <w:rPr>
          <w:rFonts w:ascii="Times New Roman" w:hAnsi="Times New Roman"/>
          <w:sz w:val="24"/>
          <w:szCs w:val="24"/>
        </w:rPr>
        <w:t>Фреш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Исполнитель со своей стороны будет вносить изменения в работу обработок выгрузки.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Сопровождение и поддержка системы после внедрения</w:t>
      </w:r>
      <w:proofErr w:type="gramStart"/>
      <w:r w:rsidRPr="005756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Исполнитель обязуется контролировать выгрузку данных в течени</w:t>
      </w:r>
      <w:proofErr w:type="gramStart"/>
      <w:r w:rsidRPr="00575615">
        <w:rPr>
          <w:rFonts w:ascii="Times New Roman" w:hAnsi="Times New Roman"/>
          <w:sz w:val="24"/>
          <w:szCs w:val="24"/>
        </w:rPr>
        <w:t>и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действия договора (в течении 6 месяцев).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5615" w:rsidRPr="00575615" w:rsidRDefault="00575615" w:rsidP="005756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3.</w:t>
      </w:r>
      <w:r w:rsidRPr="00575615">
        <w:rPr>
          <w:rFonts w:ascii="Times New Roman" w:hAnsi="Times New Roman"/>
          <w:sz w:val="24"/>
          <w:szCs w:val="24"/>
        </w:rPr>
        <w:tab/>
        <w:t xml:space="preserve">Техническая часть: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Интеграция между конфигурациями 1С с использованием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 </w:t>
      </w:r>
      <w:proofErr w:type="gramStart"/>
      <w:r w:rsidRPr="00575615">
        <w:rPr>
          <w:rFonts w:ascii="Times New Roman" w:hAnsi="Times New Roman"/>
          <w:sz w:val="24"/>
          <w:szCs w:val="24"/>
        </w:rPr>
        <w:t>будет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осуществляется с помощью XML-обмена данными или </w:t>
      </w:r>
      <w:proofErr w:type="spellStart"/>
      <w:r w:rsidRPr="00575615">
        <w:rPr>
          <w:rFonts w:ascii="Times New Roman" w:hAnsi="Times New Roman"/>
          <w:sz w:val="24"/>
          <w:szCs w:val="24"/>
        </w:rPr>
        <w:t>RESTful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API.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Определение необходимой структуры данных для передачи </w:t>
      </w:r>
      <w:proofErr w:type="spellStart"/>
      <w:r w:rsidRPr="00575615">
        <w:rPr>
          <w:rFonts w:ascii="Times New Roman" w:hAnsi="Times New Roman"/>
          <w:sz w:val="24"/>
          <w:szCs w:val="24"/>
        </w:rPr>
        <w:t>веб-сервису</w:t>
      </w:r>
      <w:proofErr w:type="spellEnd"/>
      <w:r w:rsidRPr="00575615">
        <w:rPr>
          <w:rFonts w:ascii="Times New Roman" w:hAnsi="Times New Roman"/>
          <w:sz w:val="24"/>
          <w:szCs w:val="24"/>
        </w:rPr>
        <w:t>. Это может быть XML-схема или JSON-объект, в зависимости от формата данных, поддерживаемого Web сервисом.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Работы включают: Создание необходимых процедур и функции в сервисном объекте для обработки вызовов Web сервиса. Это будет включать методы для создания, изменения или удаления документов/элементов справочников, методы для получения данных из </w:t>
      </w:r>
      <w:proofErr w:type="spellStart"/>
      <w:r w:rsidRPr="00575615">
        <w:rPr>
          <w:rFonts w:ascii="Times New Roman" w:hAnsi="Times New Roman"/>
          <w:sz w:val="24"/>
          <w:szCs w:val="24"/>
        </w:rPr>
        <w:t>веб-сервиса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и т. д.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Реализация логики методов, которая будет взаимодействовать с </w:t>
      </w:r>
      <w:proofErr w:type="spellStart"/>
      <w:r w:rsidRPr="00575615">
        <w:rPr>
          <w:rFonts w:ascii="Times New Roman" w:hAnsi="Times New Roman"/>
          <w:sz w:val="24"/>
          <w:szCs w:val="24"/>
        </w:rPr>
        <w:t>веб-сервисом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. 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Настройка событий, которые будут автоматически вызывать методы сервисного объекта при определенных действиях пользователя или при изменении данных в конфигурации 1С.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615">
        <w:rPr>
          <w:rFonts w:ascii="Times New Roman" w:hAnsi="Times New Roman"/>
          <w:sz w:val="24"/>
          <w:szCs w:val="24"/>
        </w:rPr>
        <w:t xml:space="preserve">Вызов обращений к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сервису будет вызываться при проведении документов, а в  случае увеличения времени проведения документов до неприемлемого значения из за обращений/отправки данных в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 Исполнитель изменит обращение к механизмам выгрузки (перенесет их из модулей проведения документов в фоновые задачи.</w:t>
      </w:r>
      <w:proofErr w:type="gramEnd"/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Исполнитель выполнит обработку ответов от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сервиса, </w:t>
      </w:r>
      <w:proofErr w:type="spellStart"/>
      <w:r w:rsidRPr="00575615">
        <w:rPr>
          <w:rFonts w:ascii="Times New Roman" w:hAnsi="Times New Roman"/>
          <w:sz w:val="24"/>
          <w:szCs w:val="24"/>
        </w:rPr>
        <w:t>согасовава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возможные варианты ответов с разработчиками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сервиса. Предполагаемые варианты ответов в числах, означающие следующее: “успешно”, “не найден документ - не успешно”, “не создан документ - не успешно”, “не создан элемент справочника - не успешно”, “не найдены данные для корректной проводки - не успешно”</w:t>
      </w:r>
      <w:proofErr w:type="gramStart"/>
      <w:r w:rsidRPr="00575615">
        <w:rPr>
          <w:rFonts w:ascii="Times New Roman" w:hAnsi="Times New Roman"/>
          <w:sz w:val="24"/>
          <w:szCs w:val="24"/>
        </w:rPr>
        <w:t>.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“</w:t>
      </w:r>
      <w:proofErr w:type="gramStart"/>
      <w:r w:rsidRPr="00575615">
        <w:rPr>
          <w:rFonts w:ascii="Times New Roman" w:hAnsi="Times New Roman"/>
          <w:sz w:val="24"/>
          <w:szCs w:val="24"/>
        </w:rPr>
        <w:t>н</w:t>
      </w:r>
      <w:proofErr w:type="gramEnd"/>
      <w:r w:rsidRPr="00575615">
        <w:rPr>
          <w:rFonts w:ascii="Times New Roman" w:hAnsi="Times New Roman"/>
          <w:sz w:val="24"/>
          <w:szCs w:val="24"/>
        </w:rPr>
        <w:t>е найден контрагент - не успешно”, “на создан контрагент - неуспешно”, “не найден договор - частично загружено”, “не создан договор - частично загружено”.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Исполнитель разработает </w:t>
      </w:r>
      <w:proofErr w:type="gramStart"/>
      <w:r w:rsidRPr="00575615">
        <w:rPr>
          <w:rFonts w:ascii="Times New Roman" w:hAnsi="Times New Roman"/>
          <w:sz w:val="24"/>
          <w:szCs w:val="24"/>
        </w:rPr>
        <w:t>автоматическую</w:t>
      </w:r>
      <w:proofErr w:type="gramEnd"/>
      <w:r w:rsidRPr="00575615">
        <w:rPr>
          <w:rFonts w:ascii="Times New Roman" w:hAnsi="Times New Roman"/>
          <w:sz w:val="24"/>
          <w:szCs w:val="24"/>
        </w:rPr>
        <w:t xml:space="preserve"> регистрация событий и ведение журнала всех операций по обмену документами.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 xml:space="preserve">Данные в формате XML могут быть сформированы в 1С и отправлены через </w:t>
      </w:r>
      <w:proofErr w:type="spellStart"/>
      <w:r w:rsidRPr="00575615">
        <w:rPr>
          <w:rFonts w:ascii="Times New Roman" w:hAnsi="Times New Roman"/>
          <w:sz w:val="24"/>
          <w:szCs w:val="24"/>
        </w:rPr>
        <w:t>веб-сервис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 помощью HTTP-запроса. Весь процесс формирования и отправки требует внимания к деталям и правильной обработки возможных ошибок.</w:t>
      </w:r>
    </w:p>
    <w:p w:rsidR="00575615" w:rsidRPr="00575615" w:rsidRDefault="00575615" w:rsidP="00575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lastRenderedPageBreak/>
        <w:t xml:space="preserve">Таким образом, данное техническое задание описывает основные требования и функциональность функциональности при использовании </w:t>
      </w:r>
      <w:proofErr w:type="spellStart"/>
      <w:r w:rsidRPr="00575615">
        <w:rPr>
          <w:rFonts w:ascii="Times New Roman" w:hAnsi="Times New Roman"/>
          <w:sz w:val="24"/>
          <w:szCs w:val="24"/>
        </w:rPr>
        <w:t>web</w:t>
      </w:r>
      <w:proofErr w:type="spellEnd"/>
      <w:r w:rsidRPr="00575615">
        <w:rPr>
          <w:rFonts w:ascii="Times New Roman" w:hAnsi="Times New Roman"/>
          <w:sz w:val="24"/>
          <w:szCs w:val="24"/>
        </w:rPr>
        <w:t xml:space="preserve"> сервиса на стороне передающей конфигурации 1С БП</w:t>
      </w:r>
      <w:proofErr w:type="gramStart"/>
      <w:r w:rsidRPr="00575615">
        <w:rPr>
          <w:rFonts w:ascii="Times New Roman" w:hAnsi="Times New Roman"/>
          <w:sz w:val="24"/>
          <w:szCs w:val="24"/>
        </w:rPr>
        <w:t>2</w:t>
      </w:r>
      <w:proofErr w:type="gramEnd"/>
      <w:r w:rsidRPr="00575615">
        <w:rPr>
          <w:rFonts w:ascii="Times New Roman" w:hAnsi="Times New Roman"/>
          <w:sz w:val="24"/>
          <w:szCs w:val="24"/>
        </w:rPr>
        <w:t>.0.</w:t>
      </w:r>
    </w:p>
    <w:p w:rsidR="00575615" w:rsidRDefault="00575615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615" w:rsidRPr="00575615" w:rsidRDefault="00575615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Сроки оказания услуг:   Ноябрь 2023г.- Апрель 2024г.</w:t>
      </w:r>
    </w:p>
    <w:p w:rsidR="00575615" w:rsidRPr="00575615" w:rsidRDefault="00575615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75615">
        <w:rPr>
          <w:rFonts w:ascii="Times New Roman" w:hAnsi="Times New Roman"/>
          <w:sz w:val="24"/>
          <w:szCs w:val="24"/>
        </w:rPr>
        <w:t>Работы в разбивке месяцев разработки внедрения и сопровождения: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85"/>
        <w:gridCol w:w="895"/>
        <w:gridCol w:w="930"/>
        <w:gridCol w:w="1328"/>
        <w:gridCol w:w="786"/>
        <w:gridCol w:w="1372"/>
        <w:gridCol w:w="1157"/>
      </w:tblGrid>
      <w:tr w:rsidR="00575615" w:rsidRPr="004B2AED" w:rsidTr="00575615">
        <w:tc>
          <w:tcPr>
            <w:tcW w:w="756" w:type="pct"/>
          </w:tcPr>
          <w:p w:rsidR="00575615" w:rsidRPr="005D2DD4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08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D2DD4">
              <w:rPr>
                <w:rFonts w:ascii="Times New Roman" w:hAnsi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1" w:type="pct"/>
            <w:shd w:val="clear" w:color="auto" w:fill="auto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5D2DD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644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1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575615" w:rsidRPr="004B2AED" w:rsidTr="00575615">
        <w:tc>
          <w:tcPr>
            <w:tcW w:w="756" w:type="pct"/>
          </w:tcPr>
          <w:p w:rsidR="00575615" w:rsidRP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108" w:type="pct"/>
          </w:tcPr>
          <w:p w:rsidR="00575615" w:rsidRPr="004B2AED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615">
              <w:rPr>
                <w:rFonts w:ascii="Times New Roman" w:hAnsi="Times New Roman"/>
                <w:sz w:val="24"/>
                <w:szCs w:val="24"/>
              </w:rPr>
              <w:t xml:space="preserve">Разработка обращений к </w:t>
            </w:r>
            <w:proofErr w:type="spellStart"/>
            <w:r w:rsidRPr="0057561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75615">
              <w:rPr>
                <w:rFonts w:ascii="Times New Roman" w:hAnsi="Times New Roman"/>
                <w:sz w:val="24"/>
                <w:szCs w:val="24"/>
              </w:rPr>
              <w:t xml:space="preserve"> сервису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15" w:rsidRPr="004B2AED" w:rsidTr="00575615">
        <w:tc>
          <w:tcPr>
            <w:tcW w:w="756" w:type="pct"/>
          </w:tcPr>
          <w:p w:rsid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108" w:type="pct"/>
          </w:tcPr>
          <w:p w:rsidR="00575615" w:rsidRP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15">
              <w:rPr>
                <w:rFonts w:ascii="Times New Roman" w:hAnsi="Times New Roman"/>
                <w:sz w:val="24"/>
                <w:szCs w:val="24"/>
              </w:rPr>
              <w:t>Загрузка документов и элементов справочников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15" w:rsidRPr="004B2AED" w:rsidTr="00575615">
        <w:tc>
          <w:tcPr>
            <w:tcW w:w="756" w:type="pct"/>
          </w:tcPr>
          <w:p w:rsid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1108" w:type="pct"/>
          </w:tcPr>
          <w:p w:rsidR="00575615" w:rsidRPr="00575615" w:rsidRDefault="00575615" w:rsidP="0057561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15">
              <w:rPr>
                <w:rFonts w:ascii="Times New Roman" w:hAnsi="Times New Roman"/>
                <w:sz w:val="24"/>
                <w:szCs w:val="24"/>
              </w:rPr>
              <w:t>Доработка схем выгрузки, включение выгрузки в автоматический режим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15" w:rsidRPr="004B2AED" w:rsidTr="00575615">
        <w:tc>
          <w:tcPr>
            <w:tcW w:w="756" w:type="pct"/>
          </w:tcPr>
          <w:p w:rsid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Февраль2024</w:t>
            </w:r>
          </w:p>
        </w:tc>
        <w:tc>
          <w:tcPr>
            <w:tcW w:w="1108" w:type="pct"/>
          </w:tcPr>
          <w:p w:rsidR="00575615" w:rsidRPr="00575615" w:rsidRDefault="00575615" w:rsidP="0057561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15">
              <w:rPr>
                <w:rFonts w:ascii="Times New Roman" w:hAnsi="Times New Roman"/>
                <w:sz w:val="24"/>
                <w:szCs w:val="24"/>
              </w:rPr>
              <w:t>Отладка, выявление возникших недоработок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15" w:rsidRPr="004B2AED" w:rsidTr="00575615">
        <w:tc>
          <w:tcPr>
            <w:tcW w:w="756" w:type="pct"/>
          </w:tcPr>
          <w:p w:rsid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1108" w:type="pct"/>
          </w:tcPr>
          <w:p w:rsidR="00575615" w:rsidRPr="00575615" w:rsidRDefault="00575615" w:rsidP="00E3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15">
              <w:rPr>
                <w:rFonts w:ascii="Times New Roman" w:hAnsi="Times New Roman"/>
                <w:sz w:val="24"/>
                <w:szCs w:val="24"/>
              </w:rPr>
              <w:t>Сопровождение, выявление возникших недоработок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15" w:rsidRPr="004B2AED" w:rsidTr="00575615">
        <w:tc>
          <w:tcPr>
            <w:tcW w:w="756" w:type="pct"/>
          </w:tcPr>
          <w:p w:rsidR="00575615" w:rsidRDefault="00575615" w:rsidP="0057561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108" w:type="pct"/>
          </w:tcPr>
          <w:p w:rsidR="00575615" w:rsidRPr="00575615" w:rsidRDefault="00575615" w:rsidP="002A1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15">
              <w:rPr>
                <w:rFonts w:ascii="Times New Roman" w:hAnsi="Times New Roman"/>
                <w:sz w:val="24"/>
                <w:szCs w:val="24"/>
              </w:rPr>
              <w:t>Сопровождение, выявление возникших недоработок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1223B6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1223B6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1223B6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1223B6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1223B6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575615">
                  <w:pPr>
                    <w:pStyle w:val="af2"/>
                    <w:framePr w:hSpace="180" w:wrap="around" w:vAnchor="text" w:hAnchor="margin" w:x="70" w:y="22"/>
                    <w:spacing w:line="360" w:lineRule="exac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575615" w:rsidRPr="004B2AED" w:rsidRDefault="00575615" w:rsidP="00F1496E">
                  <w:pPr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обращений к </w:t>
                  </w:r>
                  <w:proofErr w:type="spellStart"/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>Web</w:t>
                  </w:r>
                  <w:proofErr w:type="spellEnd"/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сервису</w:t>
                  </w:r>
                </w:p>
              </w:tc>
              <w:tc>
                <w:tcPr>
                  <w:tcW w:w="2324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57561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F1496E">
                  <w:pPr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>Загрузка документов и элементов справочников</w:t>
                  </w:r>
                </w:p>
              </w:tc>
              <w:tc>
                <w:tcPr>
                  <w:tcW w:w="2324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57561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F1496E">
                  <w:pPr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>Доработка схем выгрузки, включение выгрузки в автоматический режим</w:t>
                  </w:r>
                </w:p>
              </w:tc>
              <w:tc>
                <w:tcPr>
                  <w:tcW w:w="2324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57561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F1496E">
                  <w:pPr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>Отладка, выявление возникших недоработок</w:t>
                  </w:r>
                </w:p>
              </w:tc>
              <w:tc>
                <w:tcPr>
                  <w:tcW w:w="2324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57561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F149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Сопровождение, выявление возникших недоработок</w:t>
                  </w:r>
                </w:p>
              </w:tc>
              <w:tc>
                <w:tcPr>
                  <w:tcW w:w="2324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57561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F1496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615"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Сопровождение, выявление возникших недоработок</w:t>
                  </w:r>
                </w:p>
              </w:tc>
              <w:tc>
                <w:tcPr>
                  <w:tcW w:w="2324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1223B6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08" w:rsidRDefault="004B1708" w:rsidP="00FD507B">
      <w:pPr>
        <w:spacing w:after="0" w:line="240" w:lineRule="auto"/>
      </w:pPr>
      <w:r>
        <w:separator/>
      </w:r>
    </w:p>
  </w:endnote>
  <w:endnote w:type="continuationSeparator" w:id="0">
    <w:p w:rsidR="004B1708" w:rsidRDefault="004B1708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08" w:rsidRDefault="004B1708" w:rsidP="00FD507B">
      <w:pPr>
        <w:spacing w:after="0" w:line="240" w:lineRule="auto"/>
      </w:pPr>
      <w:r>
        <w:separator/>
      </w:r>
    </w:p>
  </w:footnote>
  <w:footnote w:type="continuationSeparator" w:id="0">
    <w:p w:rsidR="004B1708" w:rsidRDefault="004B1708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223B6"/>
    <w:rsid w:val="00135D78"/>
    <w:rsid w:val="00154F12"/>
    <w:rsid w:val="001960A9"/>
    <w:rsid w:val="001A75AD"/>
    <w:rsid w:val="00241EDE"/>
    <w:rsid w:val="002957FD"/>
    <w:rsid w:val="003605EA"/>
    <w:rsid w:val="003A140F"/>
    <w:rsid w:val="003D5487"/>
    <w:rsid w:val="003F4EDB"/>
    <w:rsid w:val="00416396"/>
    <w:rsid w:val="00433CDA"/>
    <w:rsid w:val="00454E1B"/>
    <w:rsid w:val="004B1708"/>
    <w:rsid w:val="00575615"/>
    <w:rsid w:val="00703609"/>
    <w:rsid w:val="00747804"/>
    <w:rsid w:val="009031DC"/>
    <w:rsid w:val="00A86E37"/>
    <w:rsid w:val="00AA6DFC"/>
    <w:rsid w:val="00AB4679"/>
    <w:rsid w:val="00B44017"/>
    <w:rsid w:val="00BF4C3A"/>
    <w:rsid w:val="00CB0BF7"/>
    <w:rsid w:val="00DC2B6A"/>
    <w:rsid w:val="00E059E9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2</cp:revision>
  <cp:lastPrinted>2023-09-28T07:32:00Z</cp:lastPrinted>
  <dcterms:created xsi:type="dcterms:W3CDTF">2023-11-13T12:01:00Z</dcterms:created>
  <dcterms:modified xsi:type="dcterms:W3CDTF">2023-11-13T12:01:00Z</dcterms:modified>
</cp:coreProperties>
</file>