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877E51">
        <w:rPr>
          <w:rFonts w:ascii="Times New Roman" w:hAnsi="Times New Roman"/>
        </w:rPr>
        <w:t>исполняющего обязанности директора</w:t>
      </w:r>
      <w:r w:rsidR="00E42748">
        <w:rPr>
          <w:rFonts w:ascii="Times New Roman" w:hAnsi="Times New Roman"/>
        </w:rPr>
        <w:t xml:space="preserve"> </w:t>
      </w:r>
      <w:proofErr w:type="spellStart"/>
      <w:r w:rsidR="00E42748">
        <w:rPr>
          <w:rFonts w:ascii="Times New Roman" w:hAnsi="Times New Roman"/>
        </w:rPr>
        <w:t>Навасардян</w:t>
      </w:r>
      <w:proofErr w:type="spellEnd"/>
      <w:r w:rsidR="00E42748">
        <w:rPr>
          <w:rFonts w:ascii="Times New Roman" w:hAnsi="Times New Roman"/>
        </w:rPr>
        <w:t xml:space="preserve"> Натальи Николаевны</w:t>
      </w:r>
      <w:r w:rsidRPr="005B39AD">
        <w:rPr>
          <w:rFonts w:ascii="Times New Roman" w:hAnsi="Times New Roman"/>
        </w:rPr>
        <w:t xml:space="preserve">, действующего на основании </w:t>
      </w:r>
      <w:r w:rsidR="00877E51">
        <w:rPr>
          <w:rFonts w:ascii="Times New Roman" w:hAnsi="Times New Roman"/>
        </w:rPr>
        <w:t>Приказа № 02/929 от 01.08.2023г.</w:t>
      </w:r>
      <w:r w:rsidR="005B39AD" w:rsidRPr="005B39AD">
        <w:rPr>
          <w:rFonts w:ascii="Times New Roman" w:hAnsi="Times New Roman"/>
        </w:rPr>
        <w:t>,</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lastRenderedPageBreak/>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w:t>
      </w:r>
      <w:r w:rsidRPr="005B39AD">
        <w:rPr>
          <w:sz w:val="22"/>
          <w:szCs w:val="22"/>
        </w:rPr>
        <w:lastRenderedPageBreak/>
        <w:t>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B39AD">
        <w:rPr>
          <w:rFonts w:ascii="Times New Roman" w:hAnsi="Times New Roman"/>
        </w:rPr>
        <w:lastRenderedPageBreak/>
        <w:t>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B39AD">
        <w:rPr>
          <w:rFonts w:ascii="Times New Roman" w:hAnsi="Times New Roman"/>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877E51" w:rsidP="005B39AD">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И.о. директора</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42748">
              <w:rPr>
                <w:rFonts w:ascii="Times New Roman" w:eastAsia="Calibri" w:hAnsi="Times New Roman" w:cs="Times New Roman"/>
                <w:b/>
                <w:color w:val="auto"/>
                <w:spacing w:val="0"/>
                <w:lang w:eastAsia="ru-RU"/>
              </w:rPr>
              <w:t>Навасардян</w:t>
            </w:r>
            <w:proofErr w:type="spellEnd"/>
            <w:r w:rsidR="00E42748">
              <w:rPr>
                <w:rFonts w:ascii="Times New Roman" w:eastAsia="Calibri" w:hAnsi="Times New Roman" w:cs="Times New Roman"/>
                <w:b/>
                <w:color w:val="auto"/>
                <w:spacing w:val="0"/>
                <w:lang w:eastAsia="ru-RU"/>
              </w:rPr>
              <w:t xml:space="preserve"> Н.Н</w:t>
            </w:r>
            <w:r w:rsidRPr="005B39AD">
              <w:rPr>
                <w:rFonts w:ascii="Times New Roman" w:eastAsia="Calibri" w:hAnsi="Times New Roman" w:cs="Times New Roman"/>
                <w:b/>
                <w:color w:val="auto"/>
                <w:spacing w:val="0"/>
                <w:lang w:eastAsia="ru-RU"/>
              </w:rPr>
              <w:t>.</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uppressAutoHyphens w:val="0"/>
              <w:snapToGrid w:val="0"/>
              <w:jc w:val="both"/>
              <w:rPr>
                <w:iCs/>
                <w:sz w:val="22"/>
                <w:szCs w:val="22"/>
              </w:rPr>
            </w:pPr>
            <w:proofErr w:type="spellStart"/>
            <w:r>
              <w:rPr>
                <w:iCs/>
                <w:sz w:val="22"/>
                <w:szCs w:val="22"/>
              </w:rPr>
              <w:t>Банкетка</w:t>
            </w:r>
            <w:proofErr w:type="spellEnd"/>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both"/>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both"/>
              <w:rPr>
                <w:sz w:val="22"/>
                <w:szCs w:val="22"/>
              </w:rPr>
            </w:pPr>
            <w:r>
              <w:rPr>
                <w:sz w:val="22"/>
                <w:szCs w:val="22"/>
              </w:rP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330BE5"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И.о. директора</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42748">
              <w:rPr>
                <w:rFonts w:ascii="Times New Roman" w:eastAsia="Calibri" w:hAnsi="Times New Roman" w:cs="Times New Roman"/>
                <w:b/>
                <w:color w:val="auto"/>
                <w:spacing w:val="0"/>
                <w:lang w:eastAsia="ru-RU"/>
              </w:rPr>
              <w:t>Навасардян</w:t>
            </w:r>
            <w:proofErr w:type="spellEnd"/>
            <w:r w:rsidR="00E42748">
              <w:rPr>
                <w:rFonts w:ascii="Times New Roman" w:eastAsia="Calibri" w:hAnsi="Times New Roman" w:cs="Times New Roman"/>
                <w:b/>
                <w:color w:val="auto"/>
                <w:spacing w:val="0"/>
                <w:lang w:eastAsia="ru-RU"/>
              </w:rPr>
              <w:t xml:space="preserve"> Н.Н.</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uppressAutoHyphens w:val="0"/>
              <w:snapToGrid w:val="0"/>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996B55" w:rsidP="005B39AD">
            <w:pPr>
              <w:pStyle w:val="Standard"/>
              <w:snapToGrid w:val="0"/>
              <w:ind w:right="-108"/>
              <w:jc w:val="center"/>
              <w:rPr>
                <w:sz w:val="22"/>
                <w:szCs w:val="22"/>
              </w:rPr>
            </w:pPr>
            <w:r>
              <w:rPr>
                <w:sz w:val="22"/>
                <w:szCs w:val="22"/>
              </w:rP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996B55">
            <w:pPr>
              <w:pStyle w:val="Standard"/>
              <w:snapToGrid w:val="0"/>
              <w:jc w:val="center"/>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330BE5" w:rsidP="00186AEA">
            <w:pPr>
              <w:pStyle w:val="TextBody0"/>
              <w:shd w:val="clear" w:color="auto" w:fill="auto"/>
              <w:rPr>
                <w:rFonts w:ascii="Times New Roman" w:eastAsia="Calibri" w:hAnsi="Times New Roman" w:cs="Times New Roman"/>
                <w:b/>
                <w:color w:val="auto"/>
                <w:spacing w:val="0"/>
                <w:lang w:eastAsia="ru-RU"/>
              </w:rPr>
            </w:pPr>
            <w:r>
              <w:rPr>
                <w:rFonts w:ascii="Times New Roman" w:eastAsia="Calibri" w:hAnsi="Times New Roman" w:cs="Times New Roman"/>
                <w:b/>
                <w:color w:val="auto"/>
                <w:spacing w:val="0"/>
                <w:lang w:eastAsia="ru-RU"/>
              </w:rPr>
              <w:t>И.о. директора</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w:t>
            </w:r>
            <w:r w:rsidR="00E42748">
              <w:rPr>
                <w:rFonts w:ascii="Times New Roman" w:eastAsia="Calibri" w:hAnsi="Times New Roman" w:cs="Times New Roman"/>
                <w:b/>
                <w:color w:val="auto"/>
                <w:spacing w:val="0"/>
                <w:lang w:eastAsia="ru-RU"/>
              </w:rPr>
              <w:t>Навасардян</w:t>
            </w:r>
            <w:proofErr w:type="spellEnd"/>
            <w:r w:rsidR="00E42748">
              <w:rPr>
                <w:rFonts w:ascii="Times New Roman" w:eastAsia="Calibri" w:hAnsi="Times New Roman" w:cs="Times New Roman"/>
                <w:b/>
                <w:color w:val="auto"/>
                <w:spacing w:val="0"/>
                <w:lang w:eastAsia="ru-RU"/>
              </w:rPr>
              <w:t xml:space="preserve"> Н.Н</w:t>
            </w:r>
            <w:r w:rsidRPr="005B39AD">
              <w:rPr>
                <w:rFonts w:ascii="Times New Roman" w:eastAsia="Calibri" w:hAnsi="Times New Roman" w:cs="Times New Roman"/>
                <w:b/>
                <w:color w:val="auto"/>
                <w:spacing w:val="0"/>
                <w:lang w:eastAsia="ru-RU"/>
              </w:rPr>
              <w:t>.</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DCA" w:rsidRDefault="00CC7DCA" w:rsidP="0071184A">
      <w:pPr>
        <w:spacing w:after="0" w:line="240" w:lineRule="auto"/>
      </w:pPr>
      <w:r>
        <w:separator/>
      </w:r>
    </w:p>
  </w:endnote>
  <w:endnote w:type="continuationSeparator" w:id="0">
    <w:p w:rsidR="00CC7DCA" w:rsidRDefault="00CC7DCA"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DCA" w:rsidRDefault="00CC7DCA" w:rsidP="0071184A">
      <w:pPr>
        <w:spacing w:after="0" w:line="240" w:lineRule="auto"/>
      </w:pPr>
      <w:r>
        <w:separator/>
      </w:r>
    </w:p>
  </w:footnote>
  <w:footnote w:type="continuationSeparator" w:id="0">
    <w:p w:rsidR="00CC7DCA" w:rsidRDefault="00CC7DCA"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B1B16"/>
    <w:rsid w:val="000C2C3E"/>
    <w:rsid w:val="000C682B"/>
    <w:rsid w:val="00100076"/>
    <w:rsid w:val="00152815"/>
    <w:rsid w:val="001F045D"/>
    <w:rsid w:val="001F346C"/>
    <w:rsid w:val="002522B0"/>
    <w:rsid w:val="00275B0D"/>
    <w:rsid w:val="002915AE"/>
    <w:rsid w:val="00330BE5"/>
    <w:rsid w:val="003E7C21"/>
    <w:rsid w:val="004066AB"/>
    <w:rsid w:val="00524C50"/>
    <w:rsid w:val="005B39AD"/>
    <w:rsid w:val="005B4E03"/>
    <w:rsid w:val="006979BC"/>
    <w:rsid w:val="006A5FF9"/>
    <w:rsid w:val="006C264A"/>
    <w:rsid w:val="006F6884"/>
    <w:rsid w:val="0071184A"/>
    <w:rsid w:val="00730A5A"/>
    <w:rsid w:val="00741C05"/>
    <w:rsid w:val="00790BCC"/>
    <w:rsid w:val="007A311F"/>
    <w:rsid w:val="007E2C02"/>
    <w:rsid w:val="00846A91"/>
    <w:rsid w:val="00877E51"/>
    <w:rsid w:val="008940F0"/>
    <w:rsid w:val="008A1658"/>
    <w:rsid w:val="008C0150"/>
    <w:rsid w:val="0090272D"/>
    <w:rsid w:val="0092157D"/>
    <w:rsid w:val="0097336A"/>
    <w:rsid w:val="00996B55"/>
    <w:rsid w:val="009F42DB"/>
    <w:rsid w:val="00AA7E2D"/>
    <w:rsid w:val="00AB77DA"/>
    <w:rsid w:val="00AF3562"/>
    <w:rsid w:val="00AF6605"/>
    <w:rsid w:val="00B04295"/>
    <w:rsid w:val="00B27FB4"/>
    <w:rsid w:val="00CC7DCA"/>
    <w:rsid w:val="00D44BE0"/>
    <w:rsid w:val="00DE1FDC"/>
    <w:rsid w:val="00DE4ECC"/>
    <w:rsid w:val="00E42748"/>
    <w:rsid w:val="00F203FD"/>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4374</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2023-04-05T10:49:00Z</dcterms:created>
  <dcterms:modified xsi:type="dcterms:W3CDTF">2023-08-11T10:23:00Z</dcterms:modified>
</cp:coreProperties>
</file>