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5" w:rsidRDefault="00575615" w:rsidP="00FD507B">
      <w:pPr>
        <w:pStyle w:val="a3"/>
        <w:ind w:firstLine="709"/>
        <w:rPr>
          <w:sz w:val="24"/>
          <w:szCs w:val="24"/>
        </w:rPr>
      </w:pPr>
    </w:p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28"/>
        <w:gridCol w:w="4926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 xml:space="preserve">директора </w:t>
      </w:r>
      <w:proofErr w:type="spellStart"/>
      <w:r w:rsidR="003D5487">
        <w:rPr>
          <w:iCs/>
        </w:rPr>
        <w:t>Нечевой</w:t>
      </w:r>
      <w:proofErr w:type="spellEnd"/>
      <w:r w:rsidR="003D5487">
        <w:rPr>
          <w:iCs/>
        </w:rPr>
        <w:t xml:space="preserve"> Татьяны Юрьевны</w:t>
      </w:r>
      <w:r w:rsidRPr="009A4B10">
        <w:rPr>
          <w:iCs/>
        </w:rPr>
        <w:t xml:space="preserve">, действующего на основании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 xml:space="preserve">1.1. Заказчик поручает, а Исполнитель принимает на себя обязательства </w:t>
      </w:r>
      <w:r w:rsidR="004B15C7">
        <w:t xml:space="preserve">по заявке </w:t>
      </w:r>
      <w:r w:rsidRPr="009031DC">
        <w:t xml:space="preserve">оказать услуги </w:t>
      </w:r>
      <w:r w:rsidR="004B15C7">
        <w:t>по изготовлению аудиовизуальных рекламно-информационных материалов</w:t>
      </w:r>
      <w:r w:rsidRPr="009031DC">
        <w:t xml:space="preserve"> (далее – Услуги)</w:t>
      </w:r>
      <w:r w:rsidRPr="004B2AED">
        <w:t xml:space="preserve"> </w:t>
      </w:r>
      <w:r w:rsidRPr="009031DC">
        <w:t>в соответствии с Требованиями к оказанию услуг (Приложение № 1 к Договору). По результатам оказания услуг</w:t>
      </w:r>
      <w:r w:rsidRPr="004B2AED">
        <w:t xml:space="preserve">, </w:t>
      </w:r>
      <w:r w:rsidRPr="009031DC"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>осуществляется по адресу: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 xml:space="preserve">Вариант 1: места нахождения </w:t>
      </w:r>
      <w:r w:rsidR="003D5487">
        <w:rPr>
          <w:i/>
          <w:u w:val="single"/>
        </w:rPr>
        <w:t>Заказчика/Исполнителя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b/>
          <w:i/>
        </w:rPr>
      </w:pPr>
      <w:r w:rsidRPr="004B2AED">
        <w:rPr>
          <w:b/>
          <w:i/>
        </w:rPr>
        <w:t>или</w:t>
      </w:r>
    </w:p>
    <w:p w:rsidR="00FD507B" w:rsidRPr="004B2AED" w:rsidRDefault="00FD507B" w:rsidP="003D5487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>Вариант 2: Места нахождения объекта, в отношении которого оказы</w:t>
      </w:r>
      <w:r w:rsidR="001960A9">
        <w:rPr>
          <w:i/>
          <w:u w:val="single"/>
        </w:rPr>
        <w:t>ваются услуги</w:t>
      </w:r>
      <w:r w:rsidRPr="004B2AED">
        <w:rPr>
          <w:i/>
          <w:u w:val="single"/>
        </w:rPr>
        <w:t xml:space="preserve"> (указать адрес).</w:t>
      </w:r>
    </w:p>
    <w:p w:rsidR="00FD507B" w:rsidRPr="004B2AED" w:rsidRDefault="00FD507B" w:rsidP="00575615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A064B7">
        <w:t>оказания Услуг</w:t>
      </w:r>
      <w:r w:rsidRPr="004B2AED">
        <w:t xml:space="preserve"> – </w:t>
      </w:r>
      <w:r w:rsidR="004B15C7">
        <w:t>с момента заключения договора</w:t>
      </w:r>
      <w:r w:rsidRPr="004B2AED">
        <w:t>.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A064B7">
        <w:t>оказания Услуг</w:t>
      </w:r>
      <w:r w:rsidRPr="004B2AED">
        <w:t xml:space="preserve"> </w:t>
      </w:r>
      <w:r w:rsidR="004B15C7">
        <w:t>–</w:t>
      </w:r>
      <w:r>
        <w:t xml:space="preserve"> </w:t>
      </w:r>
      <w:r w:rsidR="004B15C7">
        <w:t>31.12.2024г</w:t>
      </w:r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661EF2" w:rsidRDefault="00661EF2" w:rsidP="00661EF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507B" w:rsidRPr="00661EF2">
        <w:rPr>
          <w:sz w:val="24"/>
          <w:szCs w:val="24"/>
        </w:rPr>
        <w:t xml:space="preserve">3.2. </w:t>
      </w:r>
      <w:r>
        <w:rPr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661EF2" w:rsidRPr="00CD56C3" w:rsidRDefault="00661EF2" w:rsidP="00661E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Pr="00661EF2">
        <w:rPr>
          <w:sz w:val="24"/>
          <w:szCs w:val="24"/>
        </w:rPr>
        <w:t>3.2.2. платеж осуществляется в течение 60 (Шестидесяти)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</w:t>
      </w:r>
      <w:r w:rsidR="00B749E8">
        <w:rPr>
          <w:sz w:val="24"/>
          <w:szCs w:val="24"/>
        </w:rPr>
        <w:t>риемки оказанных услуг (2 экз.)</w:t>
      </w:r>
      <w:r w:rsidRPr="00661EF2">
        <w:rPr>
          <w:sz w:val="24"/>
          <w:szCs w:val="24"/>
        </w:rPr>
        <w:t>, при условии отсутствия замечаний к качеству оказанных услуг. 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</w:t>
      </w:r>
      <w:r w:rsidRPr="00CD56C3">
        <w:rPr>
          <w:sz w:val="23"/>
          <w:szCs w:val="23"/>
        </w:rPr>
        <w:t xml:space="preserve"> </w:t>
      </w:r>
      <w:proofErr w:type="gramStart"/>
      <w:r w:rsidRPr="00CD56C3">
        <w:rPr>
          <w:sz w:val="23"/>
          <w:szCs w:val="23"/>
        </w:rPr>
        <w:t>с даты предоставления</w:t>
      </w:r>
      <w:proofErr w:type="gramEnd"/>
      <w:r w:rsidRPr="00CD56C3">
        <w:rPr>
          <w:sz w:val="23"/>
          <w:szCs w:val="23"/>
        </w:rPr>
        <w:t xml:space="preserve"> комплекта документов.</w:t>
      </w:r>
    </w:p>
    <w:p w:rsidR="00FD507B" w:rsidRPr="004B2AED" w:rsidRDefault="00FD507B" w:rsidP="00661EF2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1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2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3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122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</w:t>
      </w:r>
      <w:r w:rsidR="001223B6" w:rsidRPr="009106AA">
        <w:rPr>
          <w:rFonts w:ascii="Times New Roman" w:hAnsi="Times New Roman"/>
          <w:sz w:val="24"/>
          <w:szCs w:val="24"/>
        </w:rPr>
        <w:t xml:space="preserve">В течение 5 (пяти) рабочих дней </w:t>
      </w:r>
      <w:r w:rsidR="001223B6" w:rsidRPr="00482994">
        <w:rPr>
          <w:rFonts w:ascii="Times New Roman" w:hAnsi="Times New Roman"/>
          <w:sz w:val="24"/>
          <w:szCs w:val="24"/>
        </w:rPr>
        <w:t>после оказания Услуг за расчетный период (расчетным период по настоящему Договору является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-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месяц)</w:t>
      </w:r>
      <w:r w:rsidR="001223B6" w:rsidRPr="009106AA">
        <w:rPr>
          <w:rFonts w:ascii="Times New Roman" w:hAnsi="Times New Roman"/>
          <w:sz w:val="24"/>
          <w:szCs w:val="24"/>
        </w:rPr>
        <w:t>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 w:rsidRPr="004B2AED"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ForsMajor"/>
      <w:bookmarkEnd w:id="6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4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zKonf"/>
      <w:bookmarkEnd w:id="7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5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zArbitraj"/>
      <w:bookmarkEnd w:id="8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lastRenderedPageBreak/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B8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5C7" w:rsidRPr="004B15C7" w:rsidRDefault="004B15C7" w:rsidP="004B15C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C7">
        <w:rPr>
          <w:rFonts w:ascii="Times New Roman" w:hAnsi="Times New Roman" w:cs="Times New Roman"/>
          <w:b/>
          <w:sz w:val="24"/>
          <w:szCs w:val="24"/>
        </w:rPr>
        <w:t>Требования к оказанию Услуг</w:t>
      </w:r>
    </w:p>
    <w:p w:rsidR="004B15C7" w:rsidRPr="004B15C7" w:rsidRDefault="004B15C7" w:rsidP="004B15C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C7" w:rsidRPr="004B15C7" w:rsidRDefault="004B15C7" w:rsidP="004B15C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15C7">
        <w:rPr>
          <w:rFonts w:ascii="Times New Roman" w:hAnsi="Times New Roman"/>
          <w:b/>
          <w:sz w:val="24"/>
          <w:szCs w:val="24"/>
        </w:rPr>
        <w:t>1. Описание объекта закупки: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1.1 Оказание услуг по изготовлению видеороликов. Цель видеороликов и сценарий определяется Заказчиком.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 xml:space="preserve">Изготовление видеоролика включает в себя видеосъёмку на утвержденной локации/локациях по согласованному с Заказчиком сценарию, постобработку, монтаж, </w:t>
      </w:r>
      <w:proofErr w:type="spellStart"/>
      <w:r w:rsidRPr="004B15C7">
        <w:rPr>
          <w:rFonts w:ascii="Times New Roman" w:hAnsi="Times New Roman"/>
          <w:sz w:val="24"/>
          <w:szCs w:val="24"/>
        </w:rPr>
        <w:t>озвучку</w:t>
      </w:r>
      <w:proofErr w:type="spellEnd"/>
      <w:r w:rsidRPr="004B15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5C7">
        <w:rPr>
          <w:rFonts w:ascii="Times New Roman" w:hAnsi="Times New Roman"/>
          <w:sz w:val="24"/>
          <w:szCs w:val="24"/>
        </w:rPr>
        <w:t>цветокорре</w:t>
      </w:r>
      <w:bookmarkStart w:id="9" w:name="_GoBack"/>
      <w:bookmarkEnd w:id="9"/>
      <w:r w:rsidRPr="004B15C7">
        <w:rPr>
          <w:rFonts w:ascii="Times New Roman" w:hAnsi="Times New Roman"/>
          <w:sz w:val="24"/>
          <w:szCs w:val="24"/>
        </w:rPr>
        <w:t>кцию</w:t>
      </w:r>
      <w:proofErr w:type="spellEnd"/>
      <w:r w:rsidRPr="004B15C7">
        <w:rPr>
          <w:rFonts w:ascii="Times New Roman" w:hAnsi="Times New Roman"/>
          <w:sz w:val="24"/>
          <w:szCs w:val="24"/>
        </w:rPr>
        <w:t xml:space="preserve"> и интеграцию графических элементов с применением </w:t>
      </w:r>
      <w:proofErr w:type="spellStart"/>
      <w:r w:rsidRPr="004B15C7">
        <w:rPr>
          <w:rFonts w:ascii="Times New Roman" w:hAnsi="Times New Roman"/>
          <w:sz w:val="24"/>
          <w:szCs w:val="24"/>
        </w:rPr>
        <w:t>брендбука</w:t>
      </w:r>
      <w:proofErr w:type="spellEnd"/>
      <w:r w:rsidRPr="004B15C7">
        <w:rPr>
          <w:rFonts w:ascii="Times New Roman" w:hAnsi="Times New Roman"/>
          <w:sz w:val="24"/>
          <w:szCs w:val="24"/>
        </w:rPr>
        <w:t xml:space="preserve"> заказчика, с использованием оборудования Исполнителя.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 xml:space="preserve">1.2 Периодичность проведения съёмок и создания роликов определяется на основе заявки Заказчика и по согласованию с Исполнителем. Хронометраж роликов определяется Заказчиком в зависимости от целей, но составляет не менее 1 минуты, и не превышает 10 минут (если иное не предусматривает сценарий). 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1.3 Монтаж видеоролика производится с использованием профессиональных лицензионных программ. Видеоролик должен быть записан в нескольких форматах, и пригоден для размещения в информационно-телекоммуникационной сети «Интернет», социальных сетях, телевидении.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1.4 Исполнитель по требованию Заказчика вносит в созданный видеоролик изменения, не выходящие за рамки согласованного сценария.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1.5. Заказчик утверждает один вариант видеоролика в течение 2 рабочих дней с момента предоставления Исполнителем.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1.6 Стоимость каждого ролика рассчитывается исходя из оплаты монтажа плюс оплаты количества проведенных съёмочных часов, в соответствии со сценарием.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15C7">
        <w:rPr>
          <w:rFonts w:ascii="Times New Roman" w:hAnsi="Times New Roman"/>
          <w:b/>
          <w:sz w:val="24"/>
          <w:szCs w:val="24"/>
        </w:rPr>
        <w:t>2. Срок действия договора: С момента заключен</w:t>
      </w:r>
      <w:r>
        <w:rPr>
          <w:rFonts w:ascii="Times New Roman" w:hAnsi="Times New Roman"/>
          <w:b/>
          <w:sz w:val="24"/>
          <w:szCs w:val="24"/>
        </w:rPr>
        <w:t>ия договора до 31 декабря 2024</w:t>
      </w:r>
      <w:r w:rsidRPr="004B15C7">
        <w:rPr>
          <w:rFonts w:ascii="Times New Roman" w:hAnsi="Times New Roman"/>
          <w:b/>
          <w:sz w:val="24"/>
          <w:szCs w:val="24"/>
        </w:rPr>
        <w:t xml:space="preserve">г. </w:t>
      </w:r>
    </w:p>
    <w:p w:rsid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Даты проведения съёмок определяются заказчиком. Срок предоставления готового ролика составляет не более 3 дней с момента проведения съёмки.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15C7">
        <w:rPr>
          <w:rFonts w:ascii="Times New Roman" w:hAnsi="Times New Roman"/>
          <w:b/>
          <w:sz w:val="24"/>
          <w:szCs w:val="24"/>
        </w:rPr>
        <w:t>3. Место оказания услуг: определяется Заказчиком.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15C7">
        <w:rPr>
          <w:rFonts w:ascii="Times New Roman" w:hAnsi="Times New Roman"/>
          <w:b/>
          <w:sz w:val="24"/>
          <w:szCs w:val="24"/>
        </w:rPr>
        <w:t>4. Общие требования к оказанию услуг: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4.1. Качество оказываемых услуг должно соответствовать: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- Закону Российской Федерации от 27.12.1991 № 2124-1 «О средствах массовой информации»;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- Федеральному закону  от 07.07.2003 № 126-ФЗ «О связи»;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- Федеральному закону от 04.05.2011 № 99-ФЗ «О лицензировании отдельных видов деятельности»;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B15C7">
        <w:rPr>
          <w:rFonts w:ascii="Times New Roman" w:hAnsi="Times New Roman"/>
          <w:sz w:val="24"/>
          <w:szCs w:val="24"/>
        </w:rPr>
        <w:t>ГОСТу</w:t>
      </w:r>
      <w:proofErr w:type="spellEnd"/>
      <w:r w:rsidRPr="004B15C7">
        <w:rPr>
          <w:rFonts w:ascii="Times New Roman" w:hAnsi="Times New Roman"/>
          <w:sz w:val="24"/>
          <w:szCs w:val="24"/>
        </w:rPr>
        <w:t xml:space="preserve"> 21879-88 «Межгосударственный стандарт телевидение вещательное. Термины и определения»;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B15C7">
        <w:rPr>
          <w:rFonts w:ascii="Times New Roman" w:hAnsi="Times New Roman"/>
          <w:sz w:val="24"/>
          <w:szCs w:val="24"/>
        </w:rPr>
        <w:t>ГОСТу</w:t>
      </w:r>
      <w:proofErr w:type="spellEnd"/>
      <w:r w:rsidRPr="004B15C7">
        <w:rPr>
          <w:rFonts w:ascii="Times New Roman" w:hAnsi="Times New Roman"/>
          <w:sz w:val="24"/>
          <w:szCs w:val="24"/>
        </w:rPr>
        <w:t xml:space="preserve"> Р53533-2009 «Цифровое телевидение высокой четкости. Основные параметры цифровых систем телевидения высокой четкости».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4.2 Отсутствие дефектов воспроизведения видео: потеря элементов изображения, засвеченного/темного воспроизведения, более низкого качества воспроизведения; - музыкальное сопровождение не должно содержать посторонних шумов. При музыкальном оформлении видеороликов не допускаются нарушения авторских прав и других форм неправомерного заимствования.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4.3</w:t>
      </w:r>
      <w:proofErr w:type="gramStart"/>
      <w:r w:rsidRPr="004B15C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B15C7">
        <w:rPr>
          <w:rFonts w:ascii="Times New Roman" w:hAnsi="Times New Roman"/>
          <w:sz w:val="24"/>
          <w:szCs w:val="24"/>
        </w:rPr>
        <w:t xml:space="preserve"> целях возможности дальнейшего размещения видеороликов в эфире телеканалов, Исполнитель представляет Получателю поддержки паспорт видеоролика (музыкальную справку) на созданный видеоролик. В паспорт видеоролика должны быть включены следующие сведения: 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 xml:space="preserve">- название музыкальной композиции, использованной в видеоролике; 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- фамилия автора;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lastRenderedPageBreak/>
        <w:t>- фамилия исполнителя произведения;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 xml:space="preserve">- хронометраж музыкальной композиции; 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- название компании, которая создала видеоролик (наименование Исполнителя)</w:t>
      </w:r>
    </w:p>
    <w:p w:rsidR="004B15C7" w:rsidRPr="004B15C7" w:rsidRDefault="004B15C7" w:rsidP="004B15C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 xml:space="preserve">4.4. Каждый видеоролик должен представлять собой краткий, но емкий и увлекательный </w:t>
      </w:r>
      <w:proofErr w:type="spellStart"/>
      <w:r w:rsidRPr="004B15C7">
        <w:rPr>
          <w:rFonts w:ascii="Times New Roman" w:hAnsi="Times New Roman"/>
          <w:sz w:val="24"/>
          <w:szCs w:val="24"/>
        </w:rPr>
        <w:t>видеообзор</w:t>
      </w:r>
      <w:proofErr w:type="spellEnd"/>
      <w:r w:rsidRPr="004B15C7">
        <w:rPr>
          <w:rFonts w:ascii="Times New Roman" w:hAnsi="Times New Roman"/>
          <w:sz w:val="24"/>
          <w:szCs w:val="24"/>
        </w:rPr>
        <w:t>, интересный широкому кругу зрителей, на одну из тем по направлениям.</w:t>
      </w:r>
    </w:p>
    <w:p w:rsidR="004B15C7" w:rsidRPr="004B15C7" w:rsidRDefault="004B15C7" w:rsidP="004B15C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4.5. Исполнитель несет ответственность за своевременность, полноту и качество выполненных работ</w:t>
      </w:r>
    </w:p>
    <w:p w:rsidR="004B15C7" w:rsidRPr="004B15C7" w:rsidRDefault="004B15C7" w:rsidP="004B15C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4.6. Исполнитель гарантирует высокое качество изготовления каждого видеоролика, с учетом всех технических и иных требований.</w:t>
      </w:r>
    </w:p>
    <w:p w:rsidR="004B15C7" w:rsidRDefault="004B15C7" w:rsidP="004B15C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4.7. Созданные видеоролики должны соответствовать требованиям нормативных документов Российской Федерации, предъявляемым к видеопродукции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4B15C7" w:rsidRPr="004B15C7" w:rsidRDefault="004B15C7" w:rsidP="004B15C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15C7">
        <w:rPr>
          <w:rFonts w:ascii="Times New Roman" w:hAnsi="Times New Roman"/>
          <w:b/>
          <w:sz w:val="24"/>
          <w:szCs w:val="24"/>
        </w:rPr>
        <w:t>5. Порядок сдачи и приемки результатов оказанных услуг.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5.1. По завершении всех услуг, предусмотренных Договором, Исполнитель извещает Заказчика о готовности сдать оказанные услуги.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5.2. Сдача Исполнителем результата оказанных услуг и приемка его Заказчиком оформляется следующими документами: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- счёт на оплату оказанных услуг;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- товарная накладная;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- акт сдачи - приемки оказанных услуг.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По итогам оказания услуг предоставляется материал на электронном носителе (видеоролик).</w:t>
      </w:r>
    </w:p>
    <w:p w:rsidR="004B15C7" w:rsidRPr="004B15C7" w:rsidRDefault="004B15C7" w:rsidP="004B15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5.3. При обнаружении в ходе приемки недостатков оказанных услуг, сторонами составляется акт, в котором фиксируется перечень дефектов (недоделок) и сроки их устранения Исполнителем.</w:t>
      </w:r>
    </w:p>
    <w:p w:rsidR="004B15C7" w:rsidRPr="004B15C7" w:rsidRDefault="004B15C7" w:rsidP="004B15C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5C7" w:rsidRPr="004B15C7" w:rsidRDefault="004B15C7" w:rsidP="004B1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15C7">
        <w:rPr>
          <w:rFonts w:ascii="Times New Roman" w:hAnsi="Times New Roman"/>
          <w:b/>
          <w:sz w:val="24"/>
          <w:szCs w:val="24"/>
        </w:rPr>
        <w:t xml:space="preserve">6. Права на объекты интеллектуальной собственности. </w:t>
      </w:r>
    </w:p>
    <w:p w:rsidR="004B15C7" w:rsidRPr="004B15C7" w:rsidRDefault="004B15C7" w:rsidP="004B15C7">
      <w:pPr>
        <w:pStyle w:val="af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Исполнитель обязуется передать Заказчику исключительные права на созданные в рамках договора аудиовизуальные произведения (видеоролики) в полном объеме, на весь срок действия исключительных прав, для их использования на территории всех стран мира, любыми способами и в любой форме, предусмотренной законодательством Российской Федерации, включая перечисленные в ст. 1229 Гражданского кодекса Российской Федерации.</w:t>
      </w:r>
    </w:p>
    <w:p w:rsidR="004B15C7" w:rsidRPr="004B15C7" w:rsidRDefault="004B15C7" w:rsidP="004B15C7">
      <w:pPr>
        <w:pStyle w:val="af2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5C7">
        <w:rPr>
          <w:rFonts w:ascii="Times New Roman" w:hAnsi="Times New Roman"/>
          <w:sz w:val="24"/>
          <w:szCs w:val="24"/>
        </w:rPr>
        <w:t>Исполнитель гарантирует, что он будет являться единственным правообладателем на созданные в рамках договора видеоролики, что переданные Заказчику по договору видеоролики ни в целом, ни в какой-либо части не будут нарушать права собственности, авторские, смежные, личные, гражданские, договорные и иные права третьих лиц, не нанесут ущерба чести, достоинству и деловой репутации третьих лиц, а также не будут содержать информации, запрещенной законодательством</w:t>
      </w:r>
      <w:proofErr w:type="gramEnd"/>
      <w:r w:rsidRPr="004B15C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B15C7" w:rsidRPr="004B15C7" w:rsidRDefault="004B15C7" w:rsidP="004B15C7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 xml:space="preserve">Исполнитель не вправе отчуждать созданные в рамках договора аудиовизуальные произведения третьим лицам. </w:t>
      </w:r>
    </w:p>
    <w:p w:rsidR="004B15C7" w:rsidRPr="004B15C7" w:rsidRDefault="004B15C7" w:rsidP="004B15C7">
      <w:pPr>
        <w:numPr>
          <w:ilvl w:val="1"/>
          <w:numId w:val="12"/>
        </w:numPr>
        <w:tabs>
          <w:tab w:val="left" w:pos="-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>Исполнитель не сохраняет за собой право использовать самостоятельно или предоставлять аналогичное право на использование видеороликов третьим лицам.</w:t>
      </w:r>
    </w:p>
    <w:p w:rsidR="004B15C7" w:rsidRPr="004B15C7" w:rsidRDefault="004B15C7" w:rsidP="004B15C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 xml:space="preserve">Моментом передачи прав Заказчику на изготовленные видеоролики является момент направления Исполнителем видеороликов в порядке, предусмотренном настоящим техническим заданием, после получения однозначного согласования Заказчиком видеоролика и при условии последующего исполнения Заказчиком обязательств по оплате выполненных работ по изготовлению соответствующего видеоролика в объеме, предусмотренном договором. </w:t>
      </w:r>
    </w:p>
    <w:p w:rsidR="004B15C7" w:rsidRPr="004B15C7" w:rsidRDefault="004B15C7" w:rsidP="004B15C7">
      <w:pPr>
        <w:pStyle w:val="af2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15C7">
        <w:rPr>
          <w:rFonts w:ascii="Times New Roman" w:hAnsi="Times New Roman"/>
          <w:b/>
          <w:sz w:val="24"/>
          <w:szCs w:val="24"/>
        </w:rPr>
        <w:t>Порядок сдачи-приемки.</w:t>
      </w:r>
    </w:p>
    <w:p w:rsidR="004B15C7" w:rsidRPr="004B15C7" w:rsidRDefault="004B15C7" w:rsidP="004B15C7">
      <w:pPr>
        <w:pStyle w:val="af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lastRenderedPageBreak/>
        <w:t xml:space="preserve">Промежуточное согласование результатов выполнения поставленных задач в рамках оказания услуг осуществляется уполномоченным представителем Заказчика посредством электронной почты. Сведения об уполномоченном представителе Заказчика направляются Исполнителю не позднее 1 рабочего дня с момента заключения договора. </w:t>
      </w:r>
    </w:p>
    <w:p w:rsidR="004B15C7" w:rsidRPr="004B15C7" w:rsidRDefault="004B15C7" w:rsidP="004B15C7">
      <w:pPr>
        <w:numPr>
          <w:ilvl w:val="1"/>
          <w:numId w:val="12"/>
        </w:numPr>
        <w:tabs>
          <w:tab w:val="left" w:pos="-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15C7">
        <w:rPr>
          <w:rFonts w:ascii="Times New Roman" w:hAnsi="Times New Roman"/>
          <w:sz w:val="24"/>
          <w:szCs w:val="24"/>
        </w:rPr>
        <w:t xml:space="preserve">Исполнитель обязуется оперативно, в установленный Заказчиком срок, вносить изменения в результаты оказания услуг в соответствии с поступившими комментариями уполномоченного представителя Заказчика. </w:t>
      </w:r>
    </w:p>
    <w:p w:rsidR="002C36E4" w:rsidRPr="002C36E4" w:rsidRDefault="002C36E4" w:rsidP="002C36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324" w:type="dxa"/>
        <w:tblLook w:val="04A0"/>
      </w:tblPr>
      <w:tblGrid>
        <w:gridCol w:w="846"/>
        <w:gridCol w:w="2664"/>
        <w:gridCol w:w="1134"/>
        <w:gridCol w:w="1560"/>
        <w:gridCol w:w="1560"/>
        <w:gridCol w:w="1560"/>
      </w:tblGrid>
      <w:tr w:rsidR="006527C8" w:rsidTr="006527C8">
        <w:tc>
          <w:tcPr>
            <w:tcW w:w="846" w:type="dxa"/>
            <w:vAlign w:val="center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2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4" w:type="dxa"/>
            <w:vAlign w:val="center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134" w:type="dxa"/>
            <w:vAlign w:val="center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 без НДС</w:t>
            </w:r>
          </w:p>
        </w:tc>
        <w:tc>
          <w:tcPr>
            <w:tcW w:w="1560" w:type="dxa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1560" w:type="dxa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с НДС</w:t>
            </w:r>
          </w:p>
        </w:tc>
      </w:tr>
      <w:tr w:rsidR="006527C8" w:rsidTr="006527C8">
        <w:tc>
          <w:tcPr>
            <w:tcW w:w="846" w:type="dxa"/>
          </w:tcPr>
          <w:p w:rsidR="006527C8" w:rsidRPr="00575615" w:rsidRDefault="006527C8" w:rsidP="006527C8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527C8" w:rsidRDefault="006527C8" w:rsidP="006527C8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видеооператора</w:t>
            </w:r>
            <w:proofErr w:type="spellEnd"/>
          </w:p>
          <w:p w:rsidR="006527C8" w:rsidRPr="00E77AD1" w:rsidRDefault="006527C8" w:rsidP="006527C8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C8" w:rsidTr="006527C8">
        <w:tc>
          <w:tcPr>
            <w:tcW w:w="846" w:type="dxa"/>
          </w:tcPr>
          <w:p w:rsidR="006527C8" w:rsidRDefault="006527C8" w:rsidP="006527C8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6527C8" w:rsidRDefault="006527C8" w:rsidP="006527C8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(изготовление) репортажного видеоролика</w:t>
            </w:r>
          </w:p>
        </w:tc>
        <w:tc>
          <w:tcPr>
            <w:tcW w:w="1134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07B" w:rsidRDefault="00FD507B" w:rsidP="00090B7A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527C8" w:rsidRPr="004B2AED" w:rsidRDefault="006527C8" w:rsidP="00090B7A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  <w:r w:rsidR="00FD507B" w:rsidRPr="00F914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28"/>
        <w:gridCol w:w="4926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48"/>
        <w:gridCol w:w="146"/>
        <w:gridCol w:w="384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846"/>
              <w:gridCol w:w="4000"/>
              <w:gridCol w:w="2324"/>
              <w:gridCol w:w="1928"/>
            </w:tblGrid>
            <w:tr w:rsidR="00FD507B" w:rsidTr="00575615">
              <w:tc>
                <w:tcPr>
                  <w:tcW w:w="846" w:type="dxa"/>
                  <w:vAlign w:val="center"/>
                </w:tcPr>
                <w:p w:rsidR="00FD507B" w:rsidRDefault="00FD507B" w:rsidP="00D14FC9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000" w:type="dxa"/>
                  <w:vAlign w:val="center"/>
                </w:tcPr>
                <w:p w:rsidR="00FD507B" w:rsidRDefault="00FD507B" w:rsidP="00D14FC9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D14FC9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D14FC9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D14FC9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6527C8" w:rsidTr="00575615">
              <w:tc>
                <w:tcPr>
                  <w:tcW w:w="846" w:type="dxa"/>
                </w:tcPr>
                <w:p w:rsidR="006527C8" w:rsidRPr="00575615" w:rsidRDefault="006527C8" w:rsidP="00D14FC9">
                  <w:pPr>
                    <w:pStyle w:val="af2"/>
                    <w:framePr w:hSpace="180" w:wrap="around" w:vAnchor="text" w:hAnchor="margin" w:x="70" w:y="22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00" w:type="dxa"/>
                </w:tcPr>
                <w:p w:rsidR="006527C8" w:rsidRDefault="006527C8" w:rsidP="00D14FC9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видеооператора</w:t>
                  </w:r>
                  <w:proofErr w:type="spellEnd"/>
                </w:p>
                <w:p w:rsidR="006527C8" w:rsidRPr="00E77AD1" w:rsidRDefault="006527C8" w:rsidP="00D14FC9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vMerge w:val="restart"/>
                </w:tcPr>
                <w:p w:rsidR="006527C8" w:rsidRDefault="006527C8" w:rsidP="00D14FC9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2024</w:t>
                  </w:r>
                </w:p>
              </w:tc>
              <w:tc>
                <w:tcPr>
                  <w:tcW w:w="1928" w:type="dxa"/>
                  <w:vMerge w:val="restart"/>
                </w:tcPr>
                <w:p w:rsidR="006527C8" w:rsidRDefault="006527C8" w:rsidP="00D14FC9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 2025</w:t>
                  </w:r>
                </w:p>
              </w:tc>
            </w:tr>
            <w:tr w:rsidR="006527C8" w:rsidTr="00575615">
              <w:tc>
                <w:tcPr>
                  <w:tcW w:w="846" w:type="dxa"/>
                </w:tcPr>
                <w:p w:rsidR="006527C8" w:rsidRDefault="006527C8" w:rsidP="00D14FC9">
                  <w:pPr>
                    <w:pStyle w:val="af2"/>
                    <w:framePr w:hSpace="180" w:wrap="around" w:vAnchor="text" w:hAnchor="margin" w:x="70" w:y="22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00" w:type="dxa"/>
                </w:tcPr>
                <w:p w:rsidR="006527C8" w:rsidRDefault="006527C8" w:rsidP="00D14FC9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Монтаж (изготовление) репортажного видеоролика</w:t>
                  </w:r>
                </w:p>
              </w:tc>
              <w:tc>
                <w:tcPr>
                  <w:tcW w:w="2324" w:type="dxa"/>
                  <w:vMerge/>
                </w:tcPr>
                <w:p w:rsidR="006527C8" w:rsidRDefault="006527C8" w:rsidP="00D14FC9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vMerge/>
                </w:tcPr>
                <w:p w:rsidR="006527C8" w:rsidRDefault="006527C8" w:rsidP="00D14FC9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57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03" w:rsidRDefault="00163D03" w:rsidP="00FD507B">
      <w:pPr>
        <w:spacing w:after="0" w:line="240" w:lineRule="auto"/>
      </w:pPr>
      <w:r>
        <w:separator/>
      </w:r>
    </w:p>
  </w:endnote>
  <w:endnote w:type="continuationSeparator" w:id="0">
    <w:p w:rsidR="00163D03" w:rsidRDefault="00163D03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03" w:rsidRDefault="00163D03" w:rsidP="00FD507B">
      <w:pPr>
        <w:spacing w:after="0" w:line="240" w:lineRule="auto"/>
      </w:pPr>
      <w:r>
        <w:separator/>
      </w:r>
    </w:p>
  </w:footnote>
  <w:footnote w:type="continuationSeparator" w:id="0">
    <w:p w:rsidR="00163D03" w:rsidRDefault="00163D03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2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4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5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4AE"/>
    <w:multiLevelType w:val="hybridMultilevel"/>
    <w:tmpl w:val="72386218"/>
    <w:lvl w:ilvl="0" w:tplc="C3F8A5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FA2505"/>
    <w:multiLevelType w:val="multilevel"/>
    <w:tmpl w:val="D2CEC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color w:val="000000"/>
      </w:rPr>
    </w:lvl>
  </w:abstractNum>
  <w:abstractNum w:abstractNumId="2">
    <w:nsid w:val="24CD08C6"/>
    <w:multiLevelType w:val="hybridMultilevel"/>
    <w:tmpl w:val="A4D64320"/>
    <w:lvl w:ilvl="0" w:tplc="793ED3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2C70"/>
    <w:multiLevelType w:val="hybridMultilevel"/>
    <w:tmpl w:val="E752F12C"/>
    <w:lvl w:ilvl="0" w:tplc="4B54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323"/>
    <w:multiLevelType w:val="hybridMultilevel"/>
    <w:tmpl w:val="654A5FBA"/>
    <w:lvl w:ilvl="0" w:tplc="912E1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311006"/>
    <w:multiLevelType w:val="multilevel"/>
    <w:tmpl w:val="BEB26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910CCE"/>
    <w:multiLevelType w:val="hybridMultilevel"/>
    <w:tmpl w:val="1DCEDB8A"/>
    <w:lvl w:ilvl="0" w:tplc="D986A54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8921E9"/>
    <w:multiLevelType w:val="hybridMultilevel"/>
    <w:tmpl w:val="474CBDF2"/>
    <w:lvl w:ilvl="0" w:tplc="912E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91B00"/>
    <w:multiLevelType w:val="hybridMultilevel"/>
    <w:tmpl w:val="7B0AACAA"/>
    <w:lvl w:ilvl="0" w:tplc="AAFC1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2B39B9"/>
    <w:multiLevelType w:val="multilevel"/>
    <w:tmpl w:val="6A48E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C77728C"/>
    <w:multiLevelType w:val="multilevel"/>
    <w:tmpl w:val="7E889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7D2C52ED"/>
    <w:multiLevelType w:val="multilevel"/>
    <w:tmpl w:val="1DB8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310AD"/>
    <w:rsid w:val="00065F0B"/>
    <w:rsid w:val="00090B7A"/>
    <w:rsid w:val="000A2536"/>
    <w:rsid w:val="000B0054"/>
    <w:rsid w:val="001223B6"/>
    <w:rsid w:val="00135D78"/>
    <w:rsid w:val="00154F12"/>
    <w:rsid w:val="00163D03"/>
    <w:rsid w:val="001960A9"/>
    <w:rsid w:val="001A39F3"/>
    <w:rsid w:val="001A75AD"/>
    <w:rsid w:val="00241EDE"/>
    <w:rsid w:val="00285E01"/>
    <w:rsid w:val="002957FD"/>
    <w:rsid w:val="002C36E4"/>
    <w:rsid w:val="002F05A3"/>
    <w:rsid w:val="003605EA"/>
    <w:rsid w:val="003A140F"/>
    <w:rsid w:val="003D5487"/>
    <w:rsid w:val="003F4EDB"/>
    <w:rsid w:val="00416396"/>
    <w:rsid w:val="00433CDA"/>
    <w:rsid w:val="00454E1B"/>
    <w:rsid w:val="004B15C7"/>
    <w:rsid w:val="004B1708"/>
    <w:rsid w:val="00575615"/>
    <w:rsid w:val="005B15CD"/>
    <w:rsid w:val="006527C8"/>
    <w:rsid w:val="00661EF2"/>
    <w:rsid w:val="006D4EAC"/>
    <w:rsid w:val="00702566"/>
    <w:rsid w:val="00703560"/>
    <w:rsid w:val="00703609"/>
    <w:rsid w:val="00747804"/>
    <w:rsid w:val="007C1141"/>
    <w:rsid w:val="009031DC"/>
    <w:rsid w:val="00957743"/>
    <w:rsid w:val="00A067FC"/>
    <w:rsid w:val="00A86E37"/>
    <w:rsid w:val="00AA6DFC"/>
    <w:rsid w:val="00AB4679"/>
    <w:rsid w:val="00B44017"/>
    <w:rsid w:val="00B749E8"/>
    <w:rsid w:val="00B841A8"/>
    <w:rsid w:val="00BF4C3A"/>
    <w:rsid w:val="00BF74A8"/>
    <w:rsid w:val="00CB0BF7"/>
    <w:rsid w:val="00D14FC9"/>
    <w:rsid w:val="00D24FCC"/>
    <w:rsid w:val="00D92494"/>
    <w:rsid w:val="00DC2B6A"/>
    <w:rsid w:val="00E059E9"/>
    <w:rsid w:val="00E77AD1"/>
    <w:rsid w:val="00F20F74"/>
    <w:rsid w:val="00F53C81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Маркер,название,Bullet List,FooterText,numbered,SL_Абзац списка,List Paragraph1,List Paragraph,f_Абзац 1,Bullet Number,Нумерованый список,lp1,Абзац списка4,Абзац списка2,ПАРАГРАФ,Текстовая,Абзац списка11,Абзац списка3,фото"/>
    <w:basedOn w:val="a"/>
    <w:link w:val="af3"/>
    <w:uiPriority w:val="34"/>
    <w:qFormat/>
    <w:rsid w:val="00575615"/>
    <w:pPr>
      <w:ind w:left="720"/>
      <w:contextualSpacing/>
    </w:pPr>
  </w:style>
  <w:style w:type="paragraph" w:customStyle="1" w:styleId="11">
    <w:name w:val="Обычный1"/>
    <w:uiPriority w:val="99"/>
    <w:rsid w:val="006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Абзац списка Знак"/>
    <w:aliases w:val="Маркер Знак,название Знак,Bullet List Знак,FooterText Знак,numbered Знак,SL_Абзац списка Знак,List Paragraph1 Знак,List Paragraph Знак,f_Абзац 1 Знак,Bullet Number Знак,Нумерованый список Знак,lp1 Знак,Абзац списка4 Знак,ПАРАГРАФ Знак"/>
    <w:basedOn w:val="a0"/>
    <w:link w:val="af2"/>
    <w:uiPriority w:val="34"/>
    <w:qFormat/>
    <w:locked/>
    <w:rsid w:val="002C36E4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rsid w:val="002C36E4"/>
    <w:rPr>
      <w:rFonts w:ascii="Times New Roman" w:hAnsi="Times New Roman" w:cs="Times New Roman"/>
      <w:color w:val="0000FF"/>
      <w:u w:val="single"/>
    </w:rPr>
  </w:style>
  <w:style w:type="paragraph" w:customStyle="1" w:styleId="normal">
    <w:name w:val="normal"/>
    <w:rsid w:val="006D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B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B15C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10</cp:revision>
  <cp:lastPrinted>2023-09-28T07:32:00Z</cp:lastPrinted>
  <dcterms:created xsi:type="dcterms:W3CDTF">2023-11-13T12:01:00Z</dcterms:created>
  <dcterms:modified xsi:type="dcterms:W3CDTF">2024-02-05T12:02:00Z</dcterms:modified>
</cp:coreProperties>
</file>